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D17E" w14:textId="20063429" w:rsidR="00EA5520" w:rsidRPr="002E15B5" w:rsidRDefault="00EA5520" w:rsidP="004B32C3">
      <w:pPr>
        <w:widowControl w:val="0"/>
        <w:tabs>
          <w:tab w:val="center" w:pos="4680"/>
        </w:tabs>
        <w:jc w:val="center"/>
        <w:rPr>
          <w:b/>
        </w:rPr>
      </w:pPr>
      <w:r w:rsidRPr="002E15B5">
        <w:rPr>
          <w:b/>
        </w:rPr>
        <w:t>UNITED STATES DISTRICT COURT</w:t>
      </w:r>
    </w:p>
    <w:p w14:paraId="1E5F9F66" w14:textId="78A9563D" w:rsidR="00EA5520" w:rsidRPr="002E15B5" w:rsidRDefault="00EA5520" w:rsidP="004B32C3">
      <w:pPr>
        <w:widowControl w:val="0"/>
        <w:tabs>
          <w:tab w:val="center" w:pos="4680"/>
        </w:tabs>
        <w:jc w:val="center"/>
        <w:rPr>
          <w:b/>
        </w:rPr>
      </w:pPr>
      <w:r w:rsidRPr="002E15B5">
        <w:rPr>
          <w:b/>
        </w:rPr>
        <w:t>EASTERN DISTRICT OF TENNESSEE</w:t>
      </w:r>
    </w:p>
    <w:p w14:paraId="5572D09D" w14:textId="135E558E" w:rsidR="00EA5520" w:rsidRPr="002E15B5" w:rsidRDefault="00EA5520" w:rsidP="004B32C3">
      <w:pPr>
        <w:widowControl w:val="0"/>
        <w:tabs>
          <w:tab w:val="center" w:pos="4680"/>
        </w:tabs>
        <w:jc w:val="center"/>
        <w:rPr>
          <w:b/>
        </w:rPr>
      </w:pPr>
      <w:r w:rsidRPr="002E15B5">
        <w:rPr>
          <w:b/>
        </w:rPr>
        <w:t xml:space="preserve">AT </w:t>
      </w:r>
      <w:r w:rsidR="00ED4A07">
        <w:rPr>
          <w:b/>
        </w:rPr>
        <w:t>XXXXXXXXXX</w:t>
      </w:r>
    </w:p>
    <w:p w14:paraId="30B9F898" w14:textId="77777777" w:rsidR="00EA5520" w:rsidRPr="002E15B5" w:rsidRDefault="00EA5520" w:rsidP="004B32C3">
      <w:pPr>
        <w:jc w:val="center"/>
        <w:rPr>
          <w:b/>
        </w:rPr>
      </w:pPr>
    </w:p>
    <w:tbl>
      <w:tblPr>
        <w:tblW w:w="10072" w:type="dxa"/>
        <w:jc w:val="center"/>
        <w:tblLook w:val="01E0" w:firstRow="1" w:lastRow="1" w:firstColumn="1" w:lastColumn="1" w:noHBand="0" w:noVBand="0"/>
      </w:tblPr>
      <w:tblGrid>
        <w:gridCol w:w="4783"/>
        <w:gridCol w:w="318"/>
        <w:gridCol w:w="4971"/>
      </w:tblGrid>
      <w:tr w:rsidR="00EA5520" w:rsidRPr="002E15B5" w14:paraId="3665660B" w14:textId="77777777" w:rsidTr="004B32C3">
        <w:trPr>
          <w:trHeight w:val="2229"/>
          <w:jc w:val="center"/>
        </w:trPr>
        <w:tc>
          <w:tcPr>
            <w:tcW w:w="4783" w:type="dxa"/>
            <w:shd w:val="clear" w:color="auto" w:fill="auto"/>
          </w:tcPr>
          <w:p w14:paraId="6982A5B9" w14:textId="15F8E280" w:rsidR="00EA5520" w:rsidRPr="002E15B5" w:rsidRDefault="00ED4A07" w:rsidP="004B32C3">
            <w:pPr>
              <w:jc w:val="center"/>
            </w:pPr>
            <w:r>
              <w:t>XXXXXXXXXXXXXX</w:t>
            </w:r>
            <w:r w:rsidR="00EA5520" w:rsidRPr="002E15B5">
              <w:t>,</w:t>
            </w:r>
          </w:p>
          <w:p w14:paraId="541CA77C" w14:textId="77777777" w:rsidR="00EA5520" w:rsidRPr="002E15B5" w:rsidRDefault="00EA5520" w:rsidP="004B32C3">
            <w:pPr>
              <w:jc w:val="center"/>
            </w:pPr>
          </w:p>
          <w:p w14:paraId="6A5234DC" w14:textId="77777777" w:rsidR="00EA5520" w:rsidRPr="002E15B5" w:rsidRDefault="00EA5520" w:rsidP="004B32C3">
            <w:pPr>
              <w:ind w:firstLine="720"/>
              <w:jc w:val="center"/>
            </w:pPr>
            <w:r w:rsidRPr="002E15B5">
              <w:rPr>
                <w:i/>
              </w:rPr>
              <w:t>Plaintiff</w:t>
            </w:r>
            <w:r w:rsidRPr="002E15B5">
              <w:t>,</w:t>
            </w:r>
          </w:p>
          <w:p w14:paraId="6EC2BC94" w14:textId="77777777" w:rsidR="00EA5520" w:rsidRPr="002E15B5" w:rsidRDefault="00EA5520" w:rsidP="004B32C3">
            <w:pPr>
              <w:ind w:firstLine="720"/>
              <w:jc w:val="center"/>
            </w:pPr>
          </w:p>
          <w:p w14:paraId="3FC95FBE" w14:textId="77777777" w:rsidR="00EA5520" w:rsidRPr="002E15B5" w:rsidRDefault="00EA5520" w:rsidP="004B32C3">
            <w:pPr>
              <w:jc w:val="center"/>
            </w:pPr>
            <w:r w:rsidRPr="002E15B5">
              <w:t>v.</w:t>
            </w:r>
          </w:p>
          <w:p w14:paraId="2B6ADE1B" w14:textId="77777777" w:rsidR="00EA5520" w:rsidRPr="002E15B5" w:rsidRDefault="00EA5520" w:rsidP="004B32C3">
            <w:pPr>
              <w:jc w:val="center"/>
            </w:pPr>
          </w:p>
          <w:p w14:paraId="3DD782BB" w14:textId="1430F953" w:rsidR="00EA5520" w:rsidRPr="00506DB1" w:rsidRDefault="00ED4A07" w:rsidP="004B32C3">
            <w:pPr>
              <w:jc w:val="center"/>
              <w:rPr>
                <w:i/>
                <w:iCs/>
              </w:rPr>
            </w:pPr>
            <w:r>
              <w:t>XXXXXXXXXXXXXXXX</w:t>
            </w:r>
          </w:p>
          <w:p w14:paraId="0FBF205F" w14:textId="77777777" w:rsidR="00EA5520" w:rsidRPr="002E15B5" w:rsidRDefault="00EA5520" w:rsidP="004B32C3">
            <w:pPr>
              <w:jc w:val="center"/>
            </w:pPr>
          </w:p>
          <w:p w14:paraId="32498739" w14:textId="2EB026A5" w:rsidR="00EA5520" w:rsidRPr="002E15B5" w:rsidRDefault="00EA5520" w:rsidP="004B32C3">
            <w:pPr>
              <w:ind w:left="720"/>
              <w:jc w:val="center"/>
              <w:rPr>
                <w:b/>
              </w:rPr>
            </w:pPr>
            <w:r w:rsidRPr="002E15B5">
              <w:rPr>
                <w:i/>
              </w:rPr>
              <w:t>Defendant</w:t>
            </w:r>
            <w:r w:rsidR="00506DB1">
              <w:rPr>
                <w:i/>
              </w:rPr>
              <w:t>s</w:t>
            </w:r>
            <w:r w:rsidRPr="002E15B5">
              <w:t>.</w:t>
            </w:r>
          </w:p>
        </w:tc>
        <w:tc>
          <w:tcPr>
            <w:tcW w:w="318" w:type="dxa"/>
            <w:shd w:val="clear" w:color="auto" w:fill="auto"/>
          </w:tcPr>
          <w:p w14:paraId="49D55DB6" w14:textId="77777777" w:rsidR="00EA5520" w:rsidRPr="002E15B5" w:rsidRDefault="00EA5520" w:rsidP="004B32C3">
            <w:pPr>
              <w:jc w:val="center"/>
            </w:pPr>
            <w:r w:rsidRPr="002E15B5">
              <w:t>)</w:t>
            </w:r>
          </w:p>
          <w:p w14:paraId="1978FE50" w14:textId="77777777" w:rsidR="00EA5520" w:rsidRPr="002E15B5" w:rsidRDefault="00EA5520" w:rsidP="004B32C3">
            <w:pPr>
              <w:jc w:val="center"/>
            </w:pPr>
            <w:r w:rsidRPr="002E15B5">
              <w:t>)</w:t>
            </w:r>
          </w:p>
          <w:p w14:paraId="51C10BD1" w14:textId="77777777" w:rsidR="00EA5520" w:rsidRPr="002E15B5" w:rsidRDefault="00EA5520" w:rsidP="004B32C3">
            <w:pPr>
              <w:jc w:val="center"/>
            </w:pPr>
            <w:r w:rsidRPr="002E15B5">
              <w:t>)</w:t>
            </w:r>
            <w:r w:rsidRPr="002E15B5">
              <w:br/>
              <w:t>)</w:t>
            </w:r>
            <w:r w:rsidRPr="002E15B5">
              <w:br/>
              <w:t>)</w:t>
            </w:r>
            <w:r w:rsidRPr="002E15B5">
              <w:br/>
              <w:t>)</w:t>
            </w:r>
            <w:r w:rsidRPr="002E15B5">
              <w:br/>
              <w:t>)</w:t>
            </w:r>
          </w:p>
          <w:p w14:paraId="75EF3913" w14:textId="77777777" w:rsidR="00EA5520" w:rsidRPr="002E15B5" w:rsidRDefault="00EA5520" w:rsidP="004B32C3">
            <w:pPr>
              <w:jc w:val="center"/>
            </w:pPr>
            <w:r w:rsidRPr="002E15B5">
              <w:t>)</w:t>
            </w:r>
          </w:p>
          <w:p w14:paraId="756D7A2C" w14:textId="77777777" w:rsidR="00EA5520" w:rsidRPr="002E15B5" w:rsidRDefault="00EA5520" w:rsidP="004B32C3">
            <w:pPr>
              <w:jc w:val="center"/>
            </w:pPr>
            <w:r w:rsidRPr="002E15B5">
              <w:t>)</w:t>
            </w:r>
          </w:p>
        </w:tc>
        <w:tc>
          <w:tcPr>
            <w:tcW w:w="4971" w:type="dxa"/>
            <w:shd w:val="clear" w:color="auto" w:fill="auto"/>
          </w:tcPr>
          <w:p w14:paraId="03F4D5F6" w14:textId="77777777" w:rsidR="00EA5520" w:rsidRPr="002E15B5" w:rsidRDefault="00EA5520" w:rsidP="004B32C3">
            <w:pPr>
              <w:jc w:val="center"/>
            </w:pPr>
          </w:p>
          <w:p w14:paraId="62C0E81A" w14:textId="7B3D99B0" w:rsidR="00EA5520" w:rsidRPr="002E15B5" w:rsidRDefault="00EA5520" w:rsidP="004B32C3">
            <w:pPr>
              <w:ind w:left="552"/>
              <w:jc w:val="center"/>
            </w:pPr>
            <w:r w:rsidRPr="002E15B5">
              <w:t xml:space="preserve">Case No. </w:t>
            </w:r>
            <w:r w:rsidR="00ED4A07">
              <w:t>XXXXXXXX</w:t>
            </w:r>
          </w:p>
          <w:p w14:paraId="1D950DF5" w14:textId="77777777" w:rsidR="00EA5520" w:rsidRPr="002E15B5" w:rsidRDefault="00EA5520" w:rsidP="004B32C3">
            <w:pPr>
              <w:ind w:left="912"/>
              <w:jc w:val="center"/>
            </w:pPr>
          </w:p>
          <w:p w14:paraId="7A4521AE" w14:textId="38254534" w:rsidR="00EA5520" w:rsidRPr="002E15B5" w:rsidRDefault="005B591B" w:rsidP="004B32C3">
            <w:pPr>
              <w:ind w:left="552"/>
              <w:jc w:val="center"/>
            </w:pPr>
            <w:r>
              <w:t xml:space="preserve">District </w:t>
            </w:r>
            <w:r w:rsidR="00EA5520" w:rsidRPr="002E15B5">
              <w:t xml:space="preserve">Judge </w:t>
            </w:r>
            <w:r w:rsidR="00CA2B92">
              <w:t>Atchley</w:t>
            </w:r>
          </w:p>
          <w:p w14:paraId="4929FA76" w14:textId="77777777" w:rsidR="00EA5520" w:rsidRPr="002E15B5" w:rsidRDefault="00EA5520" w:rsidP="004B32C3">
            <w:pPr>
              <w:ind w:left="912" w:firstLine="12"/>
              <w:jc w:val="center"/>
            </w:pPr>
          </w:p>
          <w:p w14:paraId="6A7A4A38" w14:textId="6119BD95" w:rsidR="00EA5520" w:rsidRPr="002E15B5" w:rsidRDefault="00EA5520" w:rsidP="004B32C3">
            <w:pPr>
              <w:ind w:left="552"/>
              <w:jc w:val="center"/>
            </w:pPr>
            <w:r w:rsidRPr="002E15B5">
              <w:t xml:space="preserve">Magistrate Judge </w:t>
            </w:r>
            <w:r w:rsidR="00ED4A07">
              <w:t>XXXXX</w:t>
            </w:r>
          </w:p>
          <w:p w14:paraId="707E3FE0" w14:textId="77777777" w:rsidR="00EA5520" w:rsidRPr="002E15B5" w:rsidRDefault="00EA5520" w:rsidP="004B32C3">
            <w:pPr>
              <w:ind w:firstLine="972"/>
              <w:jc w:val="center"/>
              <w:rPr>
                <w:b/>
              </w:rPr>
            </w:pPr>
          </w:p>
        </w:tc>
      </w:tr>
    </w:tbl>
    <w:p w14:paraId="1241B5CA" w14:textId="7DE7B9C8" w:rsidR="00CA2B92" w:rsidRDefault="00CA2B92" w:rsidP="00CA2B92">
      <w:pPr>
        <w:widowControl w:val="0"/>
        <w:spacing w:before="29"/>
        <w:ind w:left="360"/>
        <w:jc w:val="center"/>
      </w:pPr>
    </w:p>
    <w:p w14:paraId="3DCF1EB9" w14:textId="3A189607" w:rsidR="00CA2B92" w:rsidRPr="007E77A8" w:rsidRDefault="00CA2B92" w:rsidP="007E77A8">
      <w:pPr>
        <w:widowControl w:val="0"/>
        <w:spacing w:before="100" w:beforeAutospacing="1" w:after="100" w:afterAutospacing="1"/>
        <w:ind w:left="360"/>
        <w:contextualSpacing/>
        <w:jc w:val="center"/>
        <w:rPr>
          <w:b/>
          <w:bCs/>
          <w:u w:val="single"/>
        </w:rPr>
      </w:pPr>
      <w:r w:rsidRPr="007E77A8">
        <w:rPr>
          <w:b/>
          <w:bCs/>
          <w:u w:val="single"/>
        </w:rPr>
        <w:t>SCHEDULING ORDER</w:t>
      </w:r>
    </w:p>
    <w:p w14:paraId="5C406EF2" w14:textId="77777777" w:rsidR="00CA2B92" w:rsidRPr="007E77A8" w:rsidRDefault="00CA2B92" w:rsidP="007E77A8">
      <w:pPr>
        <w:widowControl w:val="0"/>
        <w:spacing w:before="100" w:beforeAutospacing="1" w:after="100" w:afterAutospacing="1"/>
        <w:ind w:left="360"/>
        <w:contextualSpacing/>
        <w:jc w:val="center"/>
        <w:rPr>
          <w:b/>
          <w:bCs/>
          <w:u w:val="single"/>
        </w:rPr>
      </w:pPr>
    </w:p>
    <w:p w14:paraId="6E044FA3" w14:textId="1783CB36" w:rsidR="00342195" w:rsidRPr="007E77A8" w:rsidRDefault="00342195" w:rsidP="007E77A8">
      <w:pPr>
        <w:widowControl w:val="0"/>
        <w:numPr>
          <w:ilvl w:val="0"/>
          <w:numId w:val="16"/>
        </w:numPr>
        <w:spacing w:before="100" w:beforeAutospacing="1" w:after="100" w:afterAutospacing="1"/>
        <w:contextualSpacing/>
        <w:jc w:val="both"/>
      </w:pPr>
      <w:r w:rsidRPr="007E77A8">
        <w:rPr>
          <w:b/>
          <w:i/>
          <w:u w:val="single"/>
        </w:rPr>
        <w:t>Introduction</w:t>
      </w:r>
      <w:r w:rsidRPr="007E77A8">
        <w:t>: Pursuant to Fed</w:t>
      </w:r>
      <w:r w:rsidR="005E26EB" w:rsidRPr="007E77A8">
        <w:t>eral</w:t>
      </w:r>
      <w:r w:rsidRPr="007E77A8">
        <w:t xml:space="preserve"> R</w:t>
      </w:r>
      <w:r w:rsidR="005E26EB" w:rsidRPr="007E77A8">
        <w:t>ule of</w:t>
      </w:r>
      <w:r w:rsidRPr="007E77A8">
        <w:t xml:space="preserve"> Civ</w:t>
      </w:r>
      <w:r w:rsidR="005E26EB" w:rsidRPr="007E77A8">
        <w:t>il</w:t>
      </w:r>
      <w:r w:rsidRPr="007E77A8">
        <w:t xml:space="preserve"> P</w:t>
      </w:r>
      <w:r w:rsidR="005E26EB" w:rsidRPr="007E77A8">
        <w:t>rocedure</w:t>
      </w:r>
      <w:r w:rsidRPr="007E77A8">
        <w:t xml:space="preserve"> 16(b)</w:t>
      </w:r>
      <w:r w:rsidR="0093162D" w:rsidRPr="007E77A8">
        <w:t>,</w:t>
      </w:r>
      <w:r w:rsidRPr="007E77A8">
        <w:t xml:space="preserve"> a </w:t>
      </w:r>
      <w:r w:rsidR="00BD4397" w:rsidRPr="007E77A8">
        <w:t xml:space="preserve">telephonic </w:t>
      </w:r>
      <w:r w:rsidRPr="007E77A8">
        <w:t>scheduling conference was held in this case on</w:t>
      </w:r>
      <w:r w:rsidR="00EA5520" w:rsidRPr="007E77A8">
        <w:t xml:space="preserve"> </w:t>
      </w:r>
      <w:r w:rsidR="00ED4A07">
        <w:rPr>
          <w:b/>
          <w:bCs/>
        </w:rPr>
        <w:t>__________</w:t>
      </w:r>
      <w:r w:rsidRPr="007E77A8">
        <w:t>.</w:t>
      </w:r>
      <w:r w:rsidR="00BD4397" w:rsidRPr="007E77A8">
        <w:t xml:space="preserve"> </w:t>
      </w:r>
    </w:p>
    <w:p w14:paraId="36701E9F" w14:textId="77777777" w:rsidR="00342195" w:rsidRPr="007E77A8" w:rsidRDefault="00342195" w:rsidP="007E77A8">
      <w:pPr>
        <w:spacing w:before="100" w:beforeAutospacing="1" w:after="100" w:afterAutospacing="1"/>
        <w:ind w:left="1440" w:hanging="1440"/>
        <w:contextualSpacing/>
        <w:jc w:val="both"/>
      </w:pPr>
    </w:p>
    <w:p w14:paraId="06537DBA" w14:textId="03C2727C" w:rsidR="00342195" w:rsidRPr="007E77A8" w:rsidRDefault="00342195" w:rsidP="007E77A8">
      <w:pPr>
        <w:widowControl w:val="0"/>
        <w:numPr>
          <w:ilvl w:val="0"/>
          <w:numId w:val="16"/>
        </w:numPr>
        <w:spacing w:before="100" w:beforeAutospacing="1" w:after="100" w:afterAutospacing="1"/>
        <w:contextualSpacing/>
        <w:jc w:val="both"/>
      </w:pPr>
      <w:r w:rsidRPr="007E77A8">
        <w:rPr>
          <w:b/>
          <w:i/>
          <w:u w:val="single"/>
        </w:rPr>
        <w:t>Jurisdiction</w:t>
      </w:r>
      <w:r w:rsidRPr="007E77A8">
        <w:t xml:space="preserve">: In this case, the subject matter jurisdiction of the Court has been invoked pursuant to </w:t>
      </w:r>
      <w:r w:rsidR="00740D8B" w:rsidRPr="007E77A8">
        <w:t xml:space="preserve">28 </w:t>
      </w:r>
      <w:r w:rsidRPr="007E77A8">
        <w:t xml:space="preserve">U.S.C. </w:t>
      </w:r>
      <w:r w:rsidR="00ED4A07">
        <w:t>_________</w:t>
      </w:r>
      <w:r w:rsidR="007360FB" w:rsidRPr="007E77A8">
        <w:t xml:space="preserve"> </w:t>
      </w:r>
      <w:r w:rsidRPr="007E77A8">
        <w:t>and</w:t>
      </w:r>
      <w:r w:rsidR="002551F5" w:rsidRPr="007E77A8">
        <w:t xml:space="preserve"> </w:t>
      </w:r>
      <w:r w:rsidR="00ED4A07">
        <w:t>(</w:t>
      </w:r>
      <w:r w:rsidR="00ED4A07" w:rsidRPr="00ED4A07">
        <w:rPr>
          <w:b/>
          <w:bCs/>
        </w:rPr>
        <w:t>is/</w:t>
      </w:r>
      <w:r w:rsidR="00EE57D8" w:rsidRPr="00ED4A07">
        <w:rPr>
          <w:b/>
          <w:bCs/>
        </w:rPr>
        <w:t>is not</w:t>
      </w:r>
      <w:r w:rsidRPr="00ED4A07">
        <w:rPr>
          <w:b/>
          <w:bCs/>
        </w:rPr>
        <w:t xml:space="preserve"> in dispute</w:t>
      </w:r>
      <w:r w:rsidRPr="007E77A8">
        <w:t>.</w:t>
      </w:r>
      <w:r w:rsidR="00ED4A07">
        <w:t>)</w:t>
      </w:r>
    </w:p>
    <w:p w14:paraId="4C0AF261" w14:textId="77777777" w:rsidR="00342195" w:rsidRPr="007E77A8" w:rsidRDefault="00342195" w:rsidP="007E77A8">
      <w:pPr>
        <w:spacing w:before="100" w:beforeAutospacing="1" w:after="100" w:afterAutospacing="1"/>
        <w:ind w:left="1440" w:hanging="1440"/>
        <w:contextualSpacing/>
        <w:jc w:val="both"/>
      </w:pPr>
    </w:p>
    <w:p w14:paraId="5B015AB7" w14:textId="09202AF8" w:rsidR="00342195" w:rsidRPr="007E77A8" w:rsidRDefault="00342195" w:rsidP="007E77A8">
      <w:pPr>
        <w:widowControl w:val="0"/>
        <w:numPr>
          <w:ilvl w:val="0"/>
          <w:numId w:val="16"/>
        </w:numPr>
        <w:spacing w:before="100" w:beforeAutospacing="1" w:after="100" w:afterAutospacing="1"/>
        <w:contextualSpacing/>
        <w:jc w:val="both"/>
      </w:pPr>
      <w:r w:rsidRPr="007E77A8">
        <w:rPr>
          <w:b/>
          <w:i/>
          <w:u w:val="single"/>
        </w:rPr>
        <w:t>Consent to a Magistrate Judge</w:t>
      </w:r>
      <w:r w:rsidRPr="007E77A8">
        <w:t>: The parties</w:t>
      </w:r>
      <w:r w:rsidR="002551F5" w:rsidRPr="007E77A8">
        <w:t xml:space="preserve"> do not </w:t>
      </w:r>
      <w:r w:rsidRPr="007E77A8">
        <w:t>consent that all proceedings in this case may be conducted by a United States Magistrate Judge in accordance with 28 U.S.C. §</w:t>
      </w:r>
      <w:r w:rsidR="00EE57D8" w:rsidRPr="007E77A8">
        <w:t> </w:t>
      </w:r>
      <w:r w:rsidRPr="007E77A8">
        <w:t>636(c).</w:t>
      </w:r>
    </w:p>
    <w:p w14:paraId="5E01F266" w14:textId="77777777" w:rsidR="00342195" w:rsidRPr="007E77A8" w:rsidRDefault="00342195" w:rsidP="007E77A8">
      <w:pPr>
        <w:spacing w:before="100" w:beforeAutospacing="1" w:after="100" w:afterAutospacing="1"/>
        <w:ind w:left="720"/>
        <w:contextualSpacing/>
        <w:jc w:val="both"/>
      </w:pPr>
    </w:p>
    <w:p w14:paraId="5E0D4289" w14:textId="7781365A" w:rsidR="000C6CC3" w:rsidRPr="007E77A8" w:rsidRDefault="000C6CC3" w:rsidP="007E77A8">
      <w:pPr>
        <w:widowControl w:val="0"/>
        <w:numPr>
          <w:ilvl w:val="0"/>
          <w:numId w:val="16"/>
        </w:numPr>
        <w:spacing w:before="100" w:beforeAutospacing="1" w:after="100" w:afterAutospacing="1"/>
        <w:contextualSpacing/>
        <w:jc w:val="both"/>
      </w:pPr>
      <w:r w:rsidRPr="007E77A8">
        <w:rPr>
          <w:b/>
          <w:bCs/>
          <w:i/>
          <w:iCs/>
          <w:u w:val="single"/>
        </w:rPr>
        <w:t>Settlement / Alternative Dispute Resolution</w:t>
      </w:r>
      <w:r w:rsidRPr="007E77A8">
        <w:rPr>
          <w:i/>
          <w:iCs/>
        </w:rPr>
        <w:t>:</w:t>
      </w:r>
      <w:r w:rsidR="00BD4397" w:rsidRPr="007E77A8">
        <w:rPr>
          <w:b/>
          <w:bCs/>
        </w:rPr>
        <w:t xml:space="preserve"> </w:t>
      </w:r>
      <w:r w:rsidR="00BD4397" w:rsidRPr="007E77A8">
        <w:t xml:space="preserve">The parties </w:t>
      </w:r>
      <w:r w:rsidR="007E77A8" w:rsidRPr="007E77A8">
        <w:t xml:space="preserve">shall </w:t>
      </w:r>
      <w:r w:rsidR="00BD4397" w:rsidRPr="007E77A8">
        <w:t xml:space="preserve">discuss the possibility of utilizing the Federal Court Mediation Program in this case. If the parties believe the Federal Court Mediation Program can aid in resolving the case, information is available on the Court’s website and can be requested in writing from the Division Manager, U.S. District Court, 900 Georgia Avenue, Room 309, Chattanooga, Tennessee 37402.  </w:t>
      </w:r>
    </w:p>
    <w:p w14:paraId="6616C57A" w14:textId="77777777" w:rsidR="007E77A8" w:rsidRPr="007E77A8" w:rsidRDefault="007E77A8" w:rsidP="007E77A8">
      <w:pPr>
        <w:widowControl w:val="0"/>
        <w:spacing w:before="100" w:beforeAutospacing="1" w:after="100" w:afterAutospacing="1"/>
        <w:ind w:left="720"/>
        <w:contextualSpacing/>
        <w:jc w:val="both"/>
      </w:pPr>
    </w:p>
    <w:p w14:paraId="0BBD1DAE" w14:textId="68DFA055" w:rsidR="00342195" w:rsidRPr="007E77A8" w:rsidRDefault="00342195" w:rsidP="007E77A8">
      <w:pPr>
        <w:widowControl w:val="0"/>
        <w:numPr>
          <w:ilvl w:val="0"/>
          <w:numId w:val="16"/>
        </w:numPr>
        <w:spacing w:before="100" w:beforeAutospacing="1" w:after="100" w:afterAutospacing="1"/>
        <w:contextualSpacing/>
        <w:jc w:val="both"/>
      </w:pPr>
      <w:r w:rsidRPr="007E77A8">
        <w:rPr>
          <w:b/>
          <w:bCs/>
          <w:i/>
          <w:u w:val="single" w:color="000000"/>
        </w:rPr>
        <w:t>Disclosure and Discovery</w:t>
      </w:r>
      <w:r w:rsidRPr="007E77A8">
        <w:t>:</w:t>
      </w:r>
    </w:p>
    <w:p w14:paraId="712861E4" w14:textId="77777777" w:rsidR="00342195" w:rsidRPr="007E77A8" w:rsidRDefault="00342195" w:rsidP="007E77A8">
      <w:pPr>
        <w:spacing w:before="100" w:beforeAutospacing="1" w:after="100" w:afterAutospacing="1"/>
        <w:ind w:left="720"/>
        <w:contextualSpacing/>
        <w:jc w:val="both"/>
      </w:pPr>
    </w:p>
    <w:p w14:paraId="3540652F" w14:textId="06AFAF11" w:rsidR="00342195" w:rsidRPr="007E77A8" w:rsidRDefault="001427A8" w:rsidP="007E77A8">
      <w:pPr>
        <w:widowControl w:val="0"/>
        <w:numPr>
          <w:ilvl w:val="1"/>
          <w:numId w:val="16"/>
        </w:numPr>
        <w:spacing w:before="100" w:beforeAutospacing="1" w:after="100" w:afterAutospacing="1"/>
        <w:contextualSpacing/>
        <w:jc w:val="both"/>
      </w:pPr>
      <w:r w:rsidRPr="007E77A8">
        <w:rPr>
          <w:b/>
          <w:i/>
          <w:u w:val="single"/>
        </w:rPr>
        <w:t>Discovery Plan</w:t>
      </w:r>
      <w:r w:rsidR="00342195" w:rsidRPr="007E77A8">
        <w:t xml:space="preserve">: The parties </w:t>
      </w:r>
      <w:r w:rsidR="00ED4A07" w:rsidRPr="00B100D3">
        <w:rPr>
          <w:b/>
          <w:bCs/>
        </w:rPr>
        <w:t>(</w:t>
      </w:r>
      <w:r w:rsidR="00342195" w:rsidRPr="00B100D3">
        <w:rPr>
          <w:b/>
          <w:bCs/>
        </w:rPr>
        <w:t>have</w:t>
      </w:r>
      <w:r w:rsidR="00ED4A07" w:rsidRPr="00B100D3">
        <w:rPr>
          <w:b/>
          <w:bCs/>
        </w:rPr>
        <w:t>/have not)</w:t>
      </w:r>
      <w:r w:rsidR="00342195" w:rsidRPr="007E77A8">
        <w:t xml:space="preserve"> held a discovery planning meeting </w:t>
      </w:r>
      <w:r w:rsidRPr="007E77A8">
        <w:t>and submitted a discovery plan as required by Rule 26(f).</w:t>
      </w:r>
    </w:p>
    <w:p w14:paraId="414005F2" w14:textId="77777777" w:rsidR="00342195" w:rsidRPr="007E77A8" w:rsidRDefault="00342195" w:rsidP="007E77A8">
      <w:pPr>
        <w:spacing w:before="100" w:beforeAutospacing="1" w:after="100" w:afterAutospacing="1"/>
        <w:ind w:left="1440"/>
        <w:contextualSpacing/>
        <w:jc w:val="both"/>
      </w:pPr>
    </w:p>
    <w:p w14:paraId="5030E46A" w14:textId="6FE36C4D" w:rsidR="00342195" w:rsidRPr="007E77A8" w:rsidRDefault="00342195" w:rsidP="007E77A8">
      <w:pPr>
        <w:widowControl w:val="0"/>
        <w:numPr>
          <w:ilvl w:val="1"/>
          <w:numId w:val="16"/>
        </w:numPr>
        <w:spacing w:before="100" w:beforeAutospacing="1" w:after="100" w:afterAutospacing="1"/>
        <w:contextualSpacing/>
        <w:jc w:val="both"/>
      </w:pPr>
      <w:r w:rsidRPr="00ED4A07">
        <w:rPr>
          <w:b/>
          <w:i/>
          <w:u w:val="single"/>
        </w:rPr>
        <w:t>Initial Disclosures</w:t>
      </w:r>
      <w:r w:rsidRPr="007E77A8">
        <w:t>:</w:t>
      </w:r>
      <w:r w:rsidR="002A2593" w:rsidRPr="007E77A8">
        <w:t xml:space="preserve"> </w:t>
      </w:r>
      <w:r w:rsidRPr="007E77A8">
        <w:t xml:space="preserve">The parties </w:t>
      </w:r>
      <w:r w:rsidR="0093162D" w:rsidRPr="007E77A8">
        <w:t xml:space="preserve">will make all disclosures required by Rule 26(a)(1) </w:t>
      </w:r>
      <w:r w:rsidR="002A2593" w:rsidRPr="007E77A8">
        <w:t>on or before __________.</w:t>
      </w:r>
      <w:r w:rsidR="0093162D" w:rsidRPr="007E77A8">
        <w:t xml:space="preserve"> [The parties have made all </w:t>
      </w:r>
      <w:r w:rsidR="00C05EB4" w:rsidRPr="007E77A8">
        <w:t>disclosures</w:t>
      </w:r>
      <w:r w:rsidR="0093162D" w:rsidRPr="007E77A8">
        <w:t xml:space="preserve"> required by Rule 26(a)(1)].</w:t>
      </w:r>
    </w:p>
    <w:p w14:paraId="7EB785A1" w14:textId="77777777" w:rsidR="00342195" w:rsidRPr="007E77A8" w:rsidRDefault="00342195" w:rsidP="007E77A8">
      <w:pPr>
        <w:spacing w:before="100" w:beforeAutospacing="1" w:after="100" w:afterAutospacing="1"/>
        <w:ind w:left="1440"/>
        <w:contextualSpacing/>
        <w:jc w:val="both"/>
      </w:pPr>
    </w:p>
    <w:p w14:paraId="2608F795" w14:textId="469A2BD4" w:rsidR="002A2593" w:rsidRPr="007E77A8" w:rsidRDefault="00342195" w:rsidP="007E77A8">
      <w:pPr>
        <w:widowControl w:val="0"/>
        <w:numPr>
          <w:ilvl w:val="1"/>
          <w:numId w:val="16"/>
        </w:numPr>
        <w:spacing w:before="100" w:beforeAutospacing="1" w:after="100" w:afterAutospacing="1"/>
        <w:contextualSpacing/>
        <w:jc w:val="both"/>
      </w:pPr>
      <w:r w:rsidRPr="007E77A8">
        <w:rPr>
          <w:b/>
          <w:bCs/>
          <w:i/>
          <w:u w:val="single" w:color="000000"/>
        </w:rPr>
        <w:t>Expert Testimony</w:t>
      </w:r>
      <w:r w:rsidRPr="007E77A8">
        <w:t xml:space="preserve">: </w:t>
      </w:r>
      <w:r w:rsidR="00AF084D" w:rsidRPr="007E77A8">
        <w:t xml:space="preserve">Plaintiff shall disclose </w:t>
      </w:r>
      <w:r w:rsidR="002A2593" w:rsidRPr="007E77A8">
        <w:t xml:space="preserve">any expert testimony in accordance with </w:t>
      </w:r>
      <w:r w:rsidR="0093162D" w:rsidRPr="007E77A8">
        <w:t>Rule</w:t>
      </w:r>
      <w:r w:rsidR="002A2593" w:rsidRPr="007E77A8">
        <w:t xml:space="preserve"> 26(a)(2)</w:t>
      </w:r>
      <w:r w:rsidR="006851ED" w:rsidRPr="007E77A8">
        <w:t xml:space="preserve"> on or before  __________. Defendant shall disclose any expert testimony in accordance with Rule 26(a)(2) </w:t>
      </w:r>
      <w:r w:rsidR="002A2593" w:rsidRPr="007E77A8">
        <w:t>on or before</w:t>
      </w:r>
      <w:r w:rsidR="0093162D" w:rsidRPr="007E77A8">
        <w:t xml:space="preserve"> __________</w:t>
      </w:r>
      <w:r w:rsidR="002A2593" w:rsidRPr="007E77A8">
        <w:t>.</w:t>
      </w:r>
      <w:r w:rsidR="0093162D" w:rsidRPr="007E77A8">
        <w:t xml:space="preserve"> The p</w:t>
      </w:r>
      <w:r w:rsidR="002A2593" w:rsidRPr="007E77A8">
        <w:t xml:space="preserve">arties shall disclose rebuttal testimony </w:t>
      </w:r>
      <w:r w:rsidR="00B94A48">
        <w:t>within thirty days after the other party’s disclosure.</w:t>
      </w:r>
    </w:p>
    <w:p w14:paraId="75FE5B93" w14:textId="77777777" w:rsidR="002A2593" w:rsidRPr="007E77A8" w:rsidRDefault="002A2593" w:rsidP="007E77A8">
      <w:pPr>
        <w:pStyle w:val="ListParagraph"/>
        <w:spacing w:before="100" w:beforeAutospacing="1" w:after="100" w:afterAutospacing="1"/>
      </w:pPr>
    </w:p>
    <w:p w14:paraId="3F2E8057" w14:textId="7B82DD3F" w:rsidR="002A2593" w:rsidRPr="007E77A8" w:rsidRDefault="00134C8A" w:rsidP="007E77A8">
      <w:pPr>
        <w:widowControl w:val="0"/>
        <w:spacing w:before="100" w:beforeAutospacing="1" w:after="100" w:afterAutospacing="1"/>
        <w:ind w:left="720" w:firstLine="720"/>
        <w:contextualSpacing/>
        <w:jc w:val="both"/>
      </w:pPr>
      <w:r w:rsidRPr="007E77A8">
        <w:t>See</w:t>
      </w:r>
      <w:r w:rsidR="002A2593" w:rsidRPr="007E77A8">
        <w:t xml:space="preserve"> Section 6(c)</w:t>
      </w:r>
      <w:r w:rsidR="007E77A8">
        <w:t>, below,</w:t>
      </w:r>
      <w:r w:rsidRPr="007E77A8">
        <w:t xml:space="preserve"> regarding expert-related motions.</w:t>
      </w:r>
    </w:p>
    <w:p w14:paraId="2F987177" w14:textId="77777777" w:rsidR="00342195" w:rsidRPr="007E77A8" w:rsidRDefault="00342195" w:rsidP="007E77A8">
      <w:pPr>
        <w:spacing w:before="100" w:beforeAutospacing="1" w:after="100" w:afterAutospacing="1" w:line="240" w:lineRule="exact"/>
        <w:contextualSpacing/>
        <w:jc w:val="both"/>
      </w:pPr>
    </w:p>
    <w:p w14:paraId="0645A838" w14:textId="70C0BB94" w:rsidR="00342195" w:rsidRPr="007E77A8" w:rsidRDefault="00342195" w:rsidP="007E77A8">
      <w:pPr>
        <w:widowControl w:val="0"/>
        <w:numPr>
          <w:ilvl w:val="1"/>
          <w:numId w:val="16"/>
        </w:numPr>
        <w:tabs>
          <w:tab w:val="left" w:pos="2280"/>
        </w:tabs>
        <w:spacing w:before="100" w:beforeAutospacing="1" w:after="100" w:afterAutospacing="1"/>
        <w:contextualSpacing/>
        <w:jc w:val="both"/>
      </w:pPr>
      <w:r w:rsidRPr="007E77A8">
        <w:rPr>
          <w:b/>
          <w:bCs/>
          <w:i/>
          <w:u w:val="single" w:color="000000"/>
        </w:rPr>
        <w:t>Final Witness List</w:t>
      </w:r>
      <w:r w:rsidRPr="007E77A8">
        <w:t xml:space="preserve">: On or before </w:t>
      </w:r>
      <w:r w:rsidR="009C7006" w:rsidRPr="007E77A8">
        <w:rPr>
          <w:bCs/>
          <w:u w:val="single" w:color="000000"/>
        </w:rPr>
        <w:tab/>
      </w:r>
      <w:r w:rsidR="009C7006" w:rsidRPr="007E77A8">
        <w:rPr>
          <w:bCs/>
          <w:u w:val="single" w:color="000000"/>
        </w:rPr>
        <w:tab/>
      </w:r>
      <w:r w:rsidR="009C7006" w:rsidRPr="007E77A8">
        <w:rPr>
          <w:bCs/>
          <w:u w:val="single" w:color="000000"/>
        </w:rPr>
        <w:tab/>
      </w:r>
      <w:r w:rsidRPr="007E77A8">
        <w:rPr>
          <w:bCs/>
          <w:u w:color="000000"/>
        </w:rPr>
        <w:t>,</w:t>
      </w:r>
      <w:r w:rsidRPr="007E77A8">
        <w:rPr>
          <w:b/>
          <w:bCs/>
          <w:u w:color="000000"/>
        </w:rPr>
        <w:t xml:space="preserve"> </w:t>
      </w:r>
      <w:r w:rsidRPr="007E77A8">
        <w:t>the parties shall provide to all other parties</w:t>
      </w:r>
      <w:r w:rsidR="008906C7" w:rsidRPr="007E77A8">
        <w:t xml:space="preserve"> and file with the court</w:t>
      </w:r>
      <w:r w:rsidRPr="007E77A8">
        <w:t xml:space="preserve"> a final witness list in accordance with Rule</w:t>
      </w:r>
      <w:r w:rsidR="007E77A8">
        <w:t> </w:t>
      </w:r>
      <w:r w:rsidRPr="007E77A8">
        <w:t>26(a)(3)(A)(i). Wi</w:t>
      </w:r>
      <w:r w:rsidR="00EA5520" w:rsidRPr="007E77A8">
        <w:t xml:space="preserve">thin five </w:t>
      </w:r>
      <w:r w:rsidRPr="007E77A8">
        <w:t>days after service, th</w:t>
      </w:r>
      <w:r w:rsidR="008906C7" w:rsidRPr="007E77A8">
        <w:t>e final witness</w:t>
      </w:r>
      <w:r w:rsidRPr="007E77A8">
        <w:t xml:space="preserve"> list may be supplemented. After that time the list may be supplemented</w:t>
      </w:r>
      <w:r w:rsidR="008906C7" w:rsidRPr="007E77A8">
        <w:t xml:space="preserve"> </w:t>
      </w:r>
      <w:r w:rsidRPr="007E77A8">
        <w:t xml:space="preserve">with leave of the </w:t>
      </w:r>
      <w:r w:rsidR="007E77A8">
        <w:t>C</w:t>
      </w:r>
      <w:r w:rsidRPr="007E77A8">
        <w:t>ourt and for good cause.</w:t>
      </w:r>
    </w:p>
    <w:p w14:paraId="3953127C" w14:textId="77777777" w:rsidR="00342195" w:rsidRPr="007E77A8" w:rsidRDefault="00342195" w:rsidP="007E77A8">
      <w:pPr>
        <w:spacing w:before="100" w:beforeAutospacing="1" w:after="100" w:afterAutospacing="1" w:line="260" w:lineRule="exact"/>
        <w:ind w:left="1440" w:hanging="810"/>
        <w:contextualSpacing/>
        <w:jc w:val="both"/>
      </w:pPr>
    </w:p>
    <w:p w14:paraId="42F8E3FB" w14:textId="4B69A145" w:rsidR="00342195" w:rsidRPr="007E77A8" w:rsidRDefault="00342195" w:rsidP="007E77A8">
      <w:pPr>
        <w:widowControl w:val="0"/>
        <w:numPr>
          <w:ilvl w:val="1"/>
          <w:numId w:val="16"/>
        </w:numPr>
        <w:tabs>
          <w:tab w:val="left" w:pos="2280"/>
        </w:tabs>
        <w:spacing w:before="100" w:beforeAutospacing="1" w:after="100" w:afterAutospacing="1"/>
        <w:contextualSpacing/>
        <w:jc w:val="both"/>
      </w:pPr>
      <w:r w:rsidRPr="007E77A8">
        <w:rPr>
          <w:b/>
          <w:bCs/>
          <w:i/>
          <w:u w:val="single" w:color="000000"/>
        </w:rPr>
        <w:t>All Discovery</w:t>
      </w:r>
      <w:r w:rsidRPr="007E77A8">
        <w:t>:</w:t>
      </w:r>
      <w:r w:rsidR="007E77A8">
        <w:t xml:space="preserve"> </w:t>
      </w:r>
      <w:r w:rsidRPr="007E77A8">
        <w:t>All discovery</w:t>
      </w:r>
      <w:r w:rsidR="006F6F0D" w:rsidRPr="007E77A8">
        <w:t xml:space="preserve">—including </w:t>
      </w:r>
      <w:r w:rsidRPr="007E77A8">
        <w:t>the taking of depositions</w:t>
      </w:r>
      <w:r w:rsidR="00134C8A" w:rsidRPr="007E77A8">
        <w:t xml:space="preserve">, </w:t>
      </w:r>
      <w:r w:rsidRPr="007E77A8">
        <w:t xml:space="preserve">requests for admissions, </w:t>
      </w:r>
      <w:r w:rsidR="00134C8A" w:rsidRPr="007E77A8">
        <w:t>and all discovery-related motion practice</w:t>
      </w:r>
      <w:r w:rsidR="006F6F0D" w:rsidRPr="007E77A8">
        <w:t xml:space="preserve">—shall </w:t>
      </w:r>
      <w:r w:rsidRPr="007E77A8">
        <w:t xml:space="preserve">be completed by </w:t>
      </w:r>
      <w:r w:rsidR="009C7006" w:rsidRPr="007E77A8">
        <w:rPr>
          <w:bCs/>
          <w:u w:val="single" w:color="000000"/>
        </w:rPr>
        <w:tab/>
      </w:r>
      <w:r w:rsidR="009C7006" w:rsidRPr="007E77A8">
        <w:rPr>
          <w:bCs/>
          <w:u w:val="single" w:color="000000"/>
        </w:rPr>
        <w:tab/>
      </w:r>
      <w:r w:rsidR="009C7006" w:rsidRPr="007E77A8">
        <w:rPr>
          <w:bCs/>
          <w:u w:val="single" w:color="000000"/>
        </w:rPr>
        <w:tab/>
      </w:r>
      <w:r w:rsidRPr="007E77A8">
        <w:t>.</w:t>
      </w:r>
      <w:r w:rsidR="00AF084D" w:rsidRPr="007E77A8">
        <w:t xml:space="preserve"> After th</w:t>
      </w:r>
      <w:r w:rsidR="006F6F0D" w:rsidRPr="007E77A8">
        <w:t xml:space="preserve">at </w:t>
      </w:r>
      <w:r w:rsidR="00AF084D" w:rsidRPr="007E77A8">
        <w:t xml:space="preserve">date, the parties may conduct discovery by agreement, but the Court will not involve itself in any disputes that may arise. </w:t>
      </w:r>
    </w:p>
    <w:p w14:paraId="614EF238" w14:textId="77777777" w:rsidR="00342195" w:rsidRPr="007E77A8" w:rsidRDefault="00342195" w:rsidP="007E77A8">
      <w:pPr>
        <w:spacing w:before="100" w:beforeAutospacing="1" w:after="100" w:afterAutospacing="1" w:line="260" w:lineRule="exact"/>
        <w:ind w:left="1440" w:hanging="810"/>
        <w:contextualSpacing/>
        <w:jc w:val="both"/>
      </w:pPr>
    </w:p>
    <w:p w14:paraId="2CAF269C" w14:textId="35F789E4" w:rsidR="00342195" w:rsidRPr="007E77A8" w:rsidRDefault="00342195" w:rsidP="007E77A8">
      <w:pPr>
        <w:widowControl w:val="0"/>
        <w:numPr>
          <w:ilvl w:val="1"/>
          <w:numId w:val="16"/>
        </w:numPr>
        <w:tabs>
          <w:tab w:val="left" w:pos="2280"/>
        </w:tabs>
        <w:spacing w:before="100" w:beforeAutospacing="1" w:after="100" w:afterAutospacing="1"/>
        <w:contextualSpacing/>
        <w:jc w:val="both"/>
      </w:pPr>
      <w:r w:rsidRPr="007E77A8">
        <w:rPr>
          <w:b/>
          <w:bCs/>
          <w:i/>
          <w:u w:val="single" w:color="000000"/>
        </w:rPr>
        <w:t>Pretrial Disclosures</w:t>
      </w:r>
      <w:r w:rsidRPr="007E77A8">
        <w:t xml:space="preserve">: On or before </w:t>
      </w:r>
      <w:r w:rsidR="009C7006" w:rsidRPr="007E77A8">
        <w:rPr>
          <w:bCs/>
          <w:u w:val="single" w:color="000000"/>
        </w:rPr>
        <w:tab/>
      </w:r>
      <w:r w:rsidR="009C7006" w:rsidRPr="007E77A8">
        <w:rPr>
          <w:bCs/>
          <w:u w:val="single" w:color="000000"/>
        </w:rPr>
        <w:tab/>
      </w:r>
      <w:r w:rsidR="009C7006" w:rsidRPr="007E77A8">
        <w:rPr>
          <w:bCs/>
          <w:u w:val="single" w:color="000000"/>
        </w:rPr>
        <w:tab/>
      </w:r>
      <w:r w:rsidRPr="007E77A8">
        <w:t xml:space="preserve">, the parties shall make the pretrial disclosures specified in </w:t>
      </w:r>
      <w:r w:rsidR="00AF084D" w:rsidRPr="007E77A8">
        <w:t xml:space="preserve">Federal </w:t>
      </w:r>
      <w:r w:rsidRPr="007E77A8">
        <w:t xml:space="preserve">Rule </w:t>
      </w:r>
      <w:r w:rsidR="00AF084D" w:rsidRPr="007E77A8">
        <w:t xml:space="preserve">of Civil Procedure </w:t>
      </w:r>
      <w:r w:rsidRPr="007E77A8">
        <w:t>26(a)(3)(A)(ii) and (iii).  All deposition testimony to be offered into evidence must be disclosed to all other parties on or before this date.</w:t>
      </w:r>
    </w:p>
    <w:p w14:paraId="56690776" w14:textId="77777777" w:rsidR="00342195" w:rsidRPr="007E77A8" w:rsidRDefault="00342195" w:rsidP="007E77A8">
      <w:pPr>
        <w:spacing w:before="100" w:beforeAutospacing="1" w:after="100" w:afterAutospacing="1" w:line="260" w:lineRule="exact"/>
        <w:contextualSpacing/>
        <w:jc w:val="both"/>
      </w:pPr>
    </w:p>
    <w:p w14:paraId="16501D13" w14:textId="77777777" w:rsidR="00342195" w:rsidRPr="007E77A8" w:rsidRDefault="00342195" w:rsidP="007E77A8">
      <w:pPr>
        <w:widowControl w:val="0"/>
        <w:numPr>
          <w:ilvl w:val="0"/>
          <w:numId w:val="16"/>
        </w:numPr>
        <w:spacing w:before="100" w:beforeAutospacing="1" w:after="100" w:afterAutospacing="1"/>
        <w:contextualSpacing/>
        <w:jc w:val="both"/>
      </w:pPr>
      <w:r w:rsidRPr="007E77A8">
        <w:rPr>
          <w:b/>
          <w:bCs/>
          <w:i/>
          <w:u w:val="single" w:color="000000"/>
        </w:rPr>
        <w:t>Other Scheduling Matters</w:t>
      </w:r>
      <w:r w:rsidRPr="007E77A8">
        <w:t>:</w:t>
      </w:r>
    </w:p>
    <w:p w14:paraId="1A782843" w14:textId="77777777" w:rsidR="00342195" w:rsidRPr="007E77A8" w:rsidRDefault="00342195" w:rsidP="007E77A8">
      <w:pPr>
        <w:spacing w:before="100" w:beforeAutospacing="1" w:after="100" w:afterAutospacing="1" w:line="260" w:lineRule="exact"/>
        <w:contextualSpacing/>
        <w:jc w:val="both"/>
      </w:pPr>
    </w:p>
    <w:p w14:paraId="0EAD5B53" w14:textId="27990F95" w:rsidR="00342195" w:rsidRPr="007E77A8" w:rsidRDefault="00342195" w:rsidP="007E77A8">
      <w:pPr>
        <w:widowControl w:val="0"/>
        <w:numPr>
          <w:ilvl w:val="1"/>
          <w:numId w:val="16"/>
        </w:numPr>
        <w:spacing w:before="100" w:beforeAutospacing="1" w:after="100" w:afterAutospacing="1"/>
        <w:contextualSpacing/>
        <w:jc w:val="both"/>
      </w:pPr>
      <w:r w:rsidRPr="007E77A8">
        <w:rPr>
          <w:b/>
          <w:bCs/>
          <w:i/>
          <w:u w:val="single" w:color="000000"/>
        </w:rPr>
        <w:t>Amendment of Pleadings</w:t>
      </w:r>
      <w:r w:rsidRPr="007E77A8">
        <w:t xml:space="preserve">: If any party wishes </w:t>
      </w:r>
      <w:r w:rsidR="00CE66E1" w:rsidRPr="007E77A8">
        <w:t xml:space="preserve">to join one or more </w:t>
      </w:r>
      <w:r w:rsidR="00AE3EB1" w:rsidRPr="007E77A8">
        <w:t xml:space="preserve">additional </w:t>
      </w:r>
      <w:r w:rsidR="00CE66E1" w:rsidRPr="007E77A8">
        <w:t xml:space="preserve">parties or amend its pleadings, a motion for joinder or for leave to amend shall be filed </w:t>
      </w:r>
      <w:r w:rsidRPr="007E77A8">
        <w:t>on or before</w:t>
      </w:r>
      <w:r w:rsidR="000E5342" w:rsidRPr="007E77A8">
        <w:t xml:space="preserve"> </w:t>
      </w:r>
      <w:r w:rsidR="009C7006" w:rsidRPr="007E77A8">
        <w:rPr>
          <w:u w:val="single"/>
        </w:rPr>
        <w:tab/>
      </w:r>
      <w:r w:rsidR="009C7006" w:rsidRPr="007E77A8">
        <w:rPr>
          <w:u w:val="single"/>
        </w:rPr>
        <w:tab/>
      </w:r>
      <w:r w:rsidR="009C7006" w:rsidRPr="007E77A8">
        <w:rPr>
          <w:u w:val="single"/>
        </w:rPr>
        <w:tab/>
      </w:r>
      <w:r w:rsidRPr="007E77A8">
        <w:t>.</w:t>
      </w:r>
    </w:p>
    <w:p w14:paraId="2B952F7C" w14:textId="77777777" w:rsidR="00342195" w:rsidRPr="007E77A8" w:rsidRDefault="00342195" w:rsidP="007E77A8">
      <w:pPr>
        <w:spacing w:before="100" w:beforeAutospacing="1" w:after="100" w:afterAutospacing="1" w:line="240" w:lineRule="exact"/>
        <w:contextualSpacing/>
        <w:jc w:val="both"/>
      </w:pPr>
    </w:p>
    <w:p w14:paraId="541B4F08" w14:textId="0CF82B12" w:rsidR="00AE3EB1" w:rsidRPr="007E77A8" w:rsidRDefault="00342195" w:rsidP="007E77A8">
      <w:pPr>
        <w:numPr>
          <w:ilvl w:val="1"/>
          <w:numId w:val="16"/>
        </w:numPr>
        <w:spacing w:before="100" w:beforeAutospacing="1" w:after="100" w:afterAutospacing="1"/>
        <w:contextualSpacing/>
        <w:jc w:val="both"/>
        <w:rPr>
          <w:i/>
          <w:iCs/>
        </w:rPr>
      </w:pPr>
      <w:r w:rsidRPr="00ED4A07">
        <w:rPr>
          <w:b/>
          <w:bCs/>
          <w:i/>
          <w:u w:val="single" w:color="000000"/>
        </w:rPr>
        <w:t>Dispositive Motions</w:t>
      </w:r>
      <w:r w:rsidRPr="007E77A8">
        <w:t>: All dispositive motions under Rule 12 and all motions for summary judgment pursuant to Rule 56 shall be filed as soon as possible, but no later than</w:t>
      </w:r>
      <w:r w:rsidR="00EA5520" w:rsidRPr="007E77A8">
        <w:t xml:space="preserve"> </w:t>
      </w:r>
      <w:r w:rsidR="009C7006" w:rsidRPr="007E77A8">
        <w:rPr>
          <w:bCs/>
          <w:u w:val="single" w:color="000000"/>
        </w:rPr>
        <w:tab/>
      </w:r>
      <w:r w:rsidR="009C7006" w:rsidRPr="007E77A8">
        <w:rPr>
          <w:bCs/>
          <w:u w:val="single" w:color="000000"/>
        </w:rPr>
        <w:tab/>
      </w:r>
      <w:r w:rsidR="009C7006" w:rsidRPr="007E77A8">
        <w:rPr>
          <w:bCs/>
          <w:u w:val="single" w:color="000000"/>
        </w:rPr>
        <w:tab/>
      </w:r>
      <w:r w:rsidRPr="007E77A8">
        <w:t xml:space="preserve">. The failure to timely file such motions will be grounds to summarily deny them. </w:t>
      </w:r>
      <w:r w:rsidR="00AE3EB1" w:rsidRPr="007E77A8">
        <w:rPr>
          <w:i/>
          <w:iCs/>
        </w:rPr>
        <w:t>Absent extraordinary circumstances, the dispositive motion deadline</w:t>
      </w:r>
      <w:r w:rsidR="00C91AA1" w:rsidRPr="007E77A8">
        <w:rPr>
          <w:i/>
          <w:iCs/>
        </w:rPr>
        <w:t xml:space="preserve"> will not be extended</w:t>
      </w:r>
      <w:r w:rsidR="00AE3EB1" w:rsidRPr="007E77A8">
        <w:rPr>
          <w:i/>
          <w:iCs/>
        </w:rPr>
        <w:t>.</w:t>
      </w:r>
    </w:p>
    <w:p w14:paraId="0A0757CF" w14:textId="77777777" w:rsidR="007E77A8" w:rsidRDefault="007E77A8" w:rsidP="007E77A8">
      <w:pPr>
        <w:spacing w:before="100" w:beforeAutospacing="1" w:after="100" w:afterAutospacing="1"/>
        <w:ind w:left="1440"/>
        <w:contextualSpacing/>
        <w:jc w:val="both"/>
      </w:pPr>
    </w:p>
    <w:p w14:paraId="63A8E614" w14:textId="7801F721" w:rsidR="00C91AA1" w:rsidRPr="007E77A8" w:rsidRDefault="00C91AA1" w:rsidP="007E77A8">
      <w:pPr>
        <w:spacing w:before="100" w:beforeAutospacing="1" w:after="100" w:afterAutospacing="1"/>
        <w:ind w:left="1440"/>
        <w:contextualSpacing/>
        <w:jc w:val="both"/>
        <w:rPr>
          <w:i/>
          <w:iCs/>
        </w:rPr>
      </w:pPr>
      <w:r w:rsidRPr="007E77A8">
        <w:t xml:space="preserve">Judge Atchley prefers not to receive statements of undisputed material facts and will disregard any such statement unless it is (i) jointly filed, (ii) contains no </w:t>
      </w:r>
      <w:r w:rsidR="00C05EB4" w:rsidRPr="007E77A8">
        <w:t>argument</w:t>
      </w:r>
      <w:r w:rsidRPr="007E77A8">
        <w:t>, and (iii) sets forth facts rather than the parties’ positions. If a “response” is filed, the Court will construe the statement as not jointly filed and disregard it.</w:t>
      </w:r>
    </w:p>
    <w:p w14:paraId="07EBCAE1" w14:textId="77777777" w:rsidR="00342195" w:rsidRPr="007E77A8" w:rsidRDefault="00342195" w:rsidP="007E77A8">
      <w:pPr>
        <w:spacing w:before="100" w:beforeAutospacing="1" w:after="100" w:afterAutospacing="1"/>
        <w:ind w:left="1440"/>
        <w:contextualSpacing/>
        <w:jc w:val="both"/>
      </w:pPr>
    </w:p>
    <w:p w14:paraId="7BD2D83A" w14:textId="32C24363" w:rsidR="00342195" w:rsidRPr="007E77A8" w:rsidRDefault="00342195" w:rsidP="007E77A8">
      <w:pPr>
        <w:numPr>
          <w:ilvl w:val="1"/>
          <w:numId w:val="16"/>
        </w:numPr>
        <w:spacing w:before="100" w:beforeAutospacing="1" w:after="100" w:afterAutospacing="1"/>
        <w:contextualSpacing/>
        <w:jc w:val="both"/>
      </w:pPr>
      <w:r w:rsidRPr="007E77A8">
        <w:rPr>
          <w:b/>
          <w:u w:val="single"/>
        </w:rPr>
        <w:t>Daubert</w:t>
      </w:r>
      <w:r w:rsidRPr="007E77A8">
        <w:rPr>
          <w:b/>
          <w:i/>
          <w:u w:val="single"/>
        </w:rPr>
        <w:t xml:space="preserve"> Motions</w:t>
      </w:r>
      <w:r w:rsidRPr="007E77A8">
        <w:t>:</w:t>
      </w:r>
      <w:r w:rsidR="007E77A8">
        <w:t xml:space="preserve"> </w:t>
      </w:r>
      <w:r w:rsidRPr="007E77A8">
        <w:t>All motions to exclude expert testimony pursuant to Fed</w:t>
      </w:r>
      <w:r w:rsidR="00CC6419" w:rsidRPr="007E77A8">
        <w:t>eral</w:t>
      </w:r>
      <w:r w:rsidRPr="007E77A8">
        <w:t xml:space="preserve"> R</w:t>
      </w:r>
      <w:r w:rsidR="00CC6419" w:rsidRPr="007E77A8">
        <w:t>ule of</w:t>
      </w:r>
      <w:r w:rsidRPr="007E77A8">
        <w:t xml:space="preserve"> Evid</w:t>
      </w:r>
      <w:r w:rsidR="00CC6419" w:rsidRPr="007E77A8">
        <w:t>ence</w:t>
      </w:r>
      <w:r w:rsidRPr="007E77A8">
        <w:t xml:space="preserve"> 702 should be filed as soon as possible but no later than </w:t>
      </w:r>
      <w:r w:rsidR="009C7006" w:rsidRPr="007E77A8">
        <w:rPr>
          <w:u w:val="single"/>
        </w:rPr>
        <w:tab/>
      </w:r>
      <w:r w:rsidR="009C7006" w:rsidRPr="007E77A8">
        <w:rPr>
          <w:u w:val="single"/>
        </w:rPr>
        <w:tab/>
      </w:r>
      <w:r w:rsidR="009C7006" w:rsidRPr="007E77A8">
        <w:rPr>
          <w:u w:val="single"/>
        </w:rPr>
        <w:tab/>
      </w:r>
      <w:r w:rsidRPr="007E77A8">
        <w:t>.</w:t>
      </w:r>
      <w:r w:rsidR="000E5342" w:rsidRPr="007E77A8">
        <w:t xml:space="preserve">  </w:t>
      </w:r>
    </w:p>
    <w:p w14:paraId="62BE15A4" w14:textId="77777777" w:rsidR="00342195" w:rsidRPr="007E77A8" w:rsidRDefault="00342195" w:rsidP="007E77A8">
      <w:pPr>
        <w:spacing w:before="100" w:beforeAutospacing="1" w:after="100" w:afterAutospacing="1" w:line="260" w:lineRule="exact"/>
        <w:contextualSpacing/>
        <w:jc w:val="both"/>
      </w:pPr>
    </w:p>
    <w:p w14:paraId="31511610" w14:textId="026E87B0" w:rsidR="00342195" w:rsidRPr="007E77A8" w:rsidRDefault="00342195" w:rsidP="0038515E">
      <w:pPr>
        <w:widowControl w:val="0"/>
        <w:numPr>
          <w:ilvl w:val="1"/>
          <w:numId w:val="16"/>
        </w:numPr>
        <w:spacing w:before="100" w:beforeAutospacing="1" w:after="100" w:afterAutospacing="1"/>
        <w:contextualSpacing/>
        <w:jc w:val="both"/>
      </w:pPr>
      <w:r w:rsidRPr="007F746F">
        <w:rPr>
          <w:b/>
          <w:bCs/>
          <w:i/>
          <w:u w:val="single" w:color="000000"/>
        </w:rPr>
        <w:t>Motions in Limine</w:t>
      </w:r>
      <w:r w:rsidRPr="007E77A8">
        <w:t>: Any motions in limine must be filed no later than</w:t>
      </w:r>
      <w:r w:rsidRPr="007F746F">
        <w:rPr>
          <w:bCs/>
          <w:u w:color="000000"/>
        </w:rPr>
        <w:t xml:space="preserve"> </w:t>
      </w:r>
      <w:r w:rsidR="009C7006" w:rsidRPr="007F746F">
        <w:rPr>
          <w:bCs/>
          <w:u w:val="single" w:color="000000"/>
        </w:rPr>
        <w:tab/>
      </w:r>
      <w:r w:rsidR="009C7006" w:rsidRPr="007F746F">
        <w:rPr>
          <w:bCs/>
          <w:u w:val="single" w:color="000000"/>
        </w:rPr>
        <w:tab/>
      </w:r>
      <w:r w:rsidR="009C7006" w:rsidRPr="007F746F">
        <w:rPr>
          <w:bCs/>
          <w:u w:val="single" w:color="000000"/>
        </w:rPr>
        <w:tab/>
      </w:r>
      <w:r w:rsidRPr="007F746F">
        <w:rPr>
          <w:bCs/>
          <w:u w:color="000000"/>
        </w:rPr>
        <w:t>.</w:t>
      </w:r>
      <w:r w:rsidR="007F746F">
        <w:rPr>
          <w:bCs/>
          <w:u w:color="000000"/>
        </w:rPr>
        <w:t xml:space="preserve"> </w:t>
      </w:r>
      <w:r w:rsidRPr="007F746F">
        <w:rPr>
          <w:bCs/>
          <w:u w:color="000000"/>
        </w:rPr>
        <w:t xml:space="preserve">The Court will not entertain a motion to exclude expert testimony styled as a motion in limine. Any motions to exclude expert testimony </w:t>
      </w:r>
      <w:r w:rsidRPr="007E77A8">
        <w:t>pursuant to Fed</w:t>
      </w:r>
      <w:r w:rsidR="00CC6419" w:rsidRPr="007E77A8">
        <w:t>eral</w:t>
      </w:r>
      <w:r w:rsidRPr="007E77A8">
        <w:t xml:space="preserve"> R</w:t>
      </w:r>
      <w:r w:rsidR="00CC6419" w:rsidRPr="007E77A8">
        <w:t>ule of</w:t>
      </w:r>
      <w:r w:rsidRPr="007E77A8">
        <w:t xml:space="preserve"> Evid</w:t>
      </w:r>
      <w:r w:rsidR="00CC6419" w:rsidRPr="007E77A8">
        <w:t>ence</w:t>
      </w:r>
      <w:r w:rsidRPr="007E77A8">
        <w:t xml:space="preserve"> 702 </w:t>
      </w:r>
      <w:r w:rsidRPr="007F746F">
        <w:rPr>
          <w:bCs/>
          <w:u w:color="000000"/>
        </w:rPr>
        <w:t xml:space="preserve">must be filed on or before the </w:t>
      </w:r>
      <w:r w:rsidRPr="007F746F">
        <w:rPr>
          <w:bCs/>
          <w:i/>
          <w:u w:color="000000"/>
        </w:rPr>
        <w:t>Daubert</w:t>
      </w:r>
      <w:r w:rsidRPr="007F746F">
        <w:rPr>
          <w:bCs/>
          <w:u w:color="000000"/>
        </w:rPr>
        <w:t xml:space="preserve"> motion deadline set forth in </w:t>
      </w:r>
      <w:r w:rsidR="007E77A8" w:rsidRPr="007F746F">
        <w:rPr>
          <w:bCs/>
          <w:u w:color="000000"/>
        </w:rPr>
        <w:t>Section</w:t>
      </w:r>
      <w:r w:rsidR="006851ED" w:rsidRPr="007F746F">
        <w:rPr>
          <w:bCs/>
          <w:u w:color="000000"/>
        </w:rPr>
        <w:t> </w:t>
      </w:r>
      <w:r w:rsidR="007E77A8" w:rsidRPr="007F746F">
        <w:rPr>
          <w:bCs/>
          <w:u w:color="000000"/>
        </w:rPr>
        <w:t>6</w:t>
      </w:r>
      <w:r w:rsidRPr="007F746F">
        <w:rPr>
          <w:bCs/>
          <w:u w:color="000000"/>
        </w:rPr>
        <w:t>(</w:t>
      </w:r>
      <w:r w:rsidR="00EA5520" w:rsidRPr="007F746F">
        <w:rPr>
          <w:bCs/>
          <w:u w:color="000000"/>
        </w:rPr>
        <w:t>c</w:t>
      </w:r>
      <w:r w:rsidRPr="007F746F">
        <w:rPr>
          <w:bCs/>
          <w:u w:color="000000"/>
        </w:rPr>
        <w:t xml:space="preserve">). </w:t>
      </w:r>
    </w:p>
    <w:p w14:paraId="0EC8235B" w14:textId="77777777" w:rsidR="00342195" w:rsidRPr="007E77A8" w:rsidRDefault="00342195" w:rsidP="007E77A8">
      <w:pPr>
        <w:spacing w:before="100" w:beforeAutospacing="1" w:after="100" w:afterAutospacing="1" w:line="240" w:lineRule="exact"/>
        <w:contextualSpacing/>
        <w:jc w:val="both"/>
      </w:pPr>
    </w:p>
    <w:p w14:paraId="2F010EBC" w14:textId="4813A2EF" w:rsidR="00342195" w:rsidRPr="000B09B4" w:rsidRDefault="00342195" w:rsidP="007E77A8">
      <w:pPr>
        <w:widowControl w:val="0"/>
        <w:numPr>
          <w:ilvl w:val="1"/>
          <w:numId w:val="16"/>
        </w:numPr>
        <w:spacing w:before="100" w:beforeAutospacing="1" w:after="100" w:afterAutospacing="1"/>
        <w:contextualSpacing/>
        <w:jc w:val="both"/>
        <w:rPr>
          <w:bCs/>
        </w:rPr>
      </w:pPr>
      <w:r w:rsidRPr="007E77A8">
        <w:rPr>
          <w:b/>
          <w:bCs/>
          <w:i/>
          <w:u w:val="single" w:color="000000"/>
        </w:rPr>
        <w:t>Special Requests to Instruct for Jury Trial</w:t>
      </w:r>
      <w:r w:rsidRPr="007E77A8">
        <w:t xml:space="preserve">: </w:t>
      </w:r>
      <w:r w:rsidR="005415F2" w:rsidRPr="007E77A8">
        <w:t xml:space="preserve">Pursuant to Local Rule 51.1, the parties shall confer and submit a </w:t>
      </w:r>
      <w:r w:rsidR="00C55BC2">
        <w:t xml:space="preserve">single </w:t>
      </w:r>
      <w:r w:rsidR="005415F2" w:rsidRPr="007E77A8">
        <w:t xml:space="preserve">joint proposal for jury instructions to the Court no later than </w:t>
      </w:r>
      <w:r w:rsidR="00073AB9">
        <w:t>______</w:t>
      </w:r>
      <w:r w:rsidR="005415F2" w:rsidRPr="007E77A8">
        <w:t xml:space="preserve">. </w:t>
      </w:r>
      <w:r w:rsidR="00A66A9F" w:rsidRPr="007E77A8">
        <w:t>Before submitting the joint proposal, the parties must attempt to resolve any disagreement</w:t>
      </w:r>
      <w:r w:rsidR="00CD742A" w:rsidRPr="007E77A8">
        <w:t>s</w:t>
      </w:r>
      <w:r w:rsidR="00A66A9F" w:rsidRPr="007E77A8">
        <w:t>. To the extent there are disagreements as to specific instructions that cannot be resolved, the parties should provide competing instructions in their joint proposal. All jury instructions in the joint proposal, including agreed and competing instructions, shall be supported by citation</w:t>
      </w:r>
      <w:r w:rsidR="006A3736">
        <w:t xml:space="preserve"> to</w:t>
      </w:r>
      <w:r w:rsidR="00A66A9F" w:rsidRPr="007E77A8">
        <w:t xml:space="preserve"> authority pursuant to Local Rule 7.4. A copy of the proposed jury instructions </w:t>
      </w:r>
      <w:r w:rsidR="00C55BC2">
        <w:t>must</w:t>
      </w:r>
      <w:r w:rsidR="00A66A9F" w:rsidRPr="007E77A8">
        <w:t xml:space="preserve"> be sent </w:t>
      </w:r>
      <w:r w:rsidR="00C55BC2">
        <w:t xml:space="preserve">as a Microsoft Word document </w:t>
      </w:r>
      <w:r w:rsidR="00A66A9F" w:rsidRPr="007E77A8">
        <w:t xml:space="preserve">to </w:t>
      </w:r>
      <w:r w:rsidR="006851ED" w:rsidRPr="000B09B4">
        <w:rPr>
          <w:b/>
        </w:rPr>
        <w:t>atchley</w:t>
      </w:r>
      <w:r w:rsidR="006851ED" w:rsidRPr="000B09B4">
        <w:rPr>
          <w:b/>
        </w:rPr>
        <w:softHyphen/>
        <w:t>_chambers@tned.uscourts.gov</w:t>
      </w:r>
      <w:r w:rsidR="00A66A9F" w:rsidRPr="000B09B4">
        <w:rPr>
          <w:b/>
        </w:rPr>
        <w:t>.</w:t>
      </w:r>
      <w:r w:rsidR="00A66A9F" w:rsidRPr="000B09B4">
        <w:rPr>
          <w:bCs/>
        </w:rPr>
        <w:t xml:space="preserve"> </w:t>
      </w:r>
    </w:p>
    <w:p w14:paraId="17887362" w14:textId="12E3EDA1" w:rsidR="005415F2" w:rsidRPr="000B09B4" w:rsidRDefault="005415F2" w:rsidP="007E77A8">
      <w:pPr>
        <w:widowControl w:val="0"/>
        <w:spacing w:before="100" w:beforeAutospacing="1" w:after="100" w:afterAutospacing="1"/>
        <w:ind w:left="1440"/>
        <w:contextualSpacing/>
        <w:jc w:val="both"/>
        <w:rPr>
          <w:bCs/>
        </w:rPr>
      </w:pPr>
    </w:p>
    <w:p w14:paraId="4D1FF308" w14:textId="24C2BD5C" w:rsidR="005415F2" w:rsidRPr="007E77A8" w:rsidRDefault="005415F2" w:rsidP="007E77A8">
      <w:pPr>
        <w:widowControl w:val="0"/>
        <w:spacing w:before="100" w:beforeAutospacing="1" w:after="100" w:afterAutospacing="1"/>
        <w:ind w:left="1440"/>
        <w:contextualSpacing/>
        <w:jc w:val="both"/>
      </w:pPr>
      <w:r w:rsidRPr="007E77A8">
        <w:t>The Court uses the Sixth Circuit Criminal Pattern Jury Instructions as its model in formulating the final instructions given to the jury. Proposed jury instructions should follow the form of the pattern instructions.</w:t>
      </w:r>
    </w:p>
    <w:p w14:paraId="569F105F" w14:textId="77777777" w:rsidR="00A66A9F" w:rsidRPr="007E77A8" w:rsidRDefault="00A66A9F" w:rsidP="007E77A8">
      <w:pPr>
        <w:widowControl w:val="0"/>
        <w:spacing w:before="100" w:beforeAutospacing="1" w:after="100" w:afterAutospacing="1"/>
        <w:contextualSpacing/>
        <w:jc w:val="both"/>
      </w:pPr>
    </w:p>
    <w:p w14:paraId="24BFE8F3" w14:textId="11E7E8D4" w:rsidR="00E06ED7" w:rsidRPr="007E77A8" w:rsidRDefault="00342195" w:rsidP="007E77A8">
      <w:pPr>
        <w:widowControl w:val="0"/>
        <w:numPr>
          <w:ilvl w:val="0"/>
          <w:numId w:val="16"/>
        </w:numPr>
        <w:spacing w:before="100" w:beforeAutospacing="1" w:after="100" w:afterAutospacing="1"/>
        <w:contextualSpacing/>
        <w:jc w:val="both"/>
      </w:pPr>
      <w:r w:rsidRPr="007E77A8">
        <w:rPr>
          <w:b/>
          <w:bCs/>
          <w:i/>
          <w:u w:val="single" w:color="000000"/>
        </w:rPr>
        <w:t>Final Pretrial Conference</w:t>
      </w:r>
      <w:r w:rsidRPr="007E77A8">
        <w:t xml:space="preserve">: A final pretrial conference will be held in </w:t>
      </w:r>
      <w:r w:rsidR="00EA5520" w:rsidRPr="007E77A8">
        <w:t xml:space="preserve">Courtroom </w:t>
      </w:r>
      <w:r w:rsidR="005415F2" w:rsidRPr="007E77A8">
        <w:t>1A</w:t>
      </w:r>
      <w:r w:rsidRPr="007E77A8">
        <w:t xml:space="preserve"> on </w:t>
      </w:r>
      <w:r w:rsidR="004F608C" w:rsidRPr="007E77A8">
        <w:rPr>
          <w:bCs/>
          <w:u w:val="single" w:color="000000"/>
        </w:rPr>
        <w:tab/>
      </w:r>
      <w:r w:rsidR="004F608C" w:rsidRPr="007E77A8">
        <w:rPr>
          <w:bCs/>
          <w:u w:val="single" w:color="000000"/>
        </w:rPr>
        <w:tab/>
      </w:r>
      <w:r w:rsidR="00673F1E" w:rsidRPr="007E77A8">
        <w:rPr>
          <w:bCs/>
          <w:u w:color="000000"/>
        </w:rPr>
        <w:t>,</w:t>
      </w:r>
      <w:r w:rsidRPr="007E77A8">
        <w:t xml:space="preserve"> at</w:t>
      </w:r>
      <w:r w:rsidR="00F41C73" w:rsidRPr="007E77A8">
        <w:t xml:space="preserve"> </w:t>
      </w:r>
      <w:r w:rsidR="00F41C73" w:rsidRPr="007E77A8">
        <w:rPr>
          <w:b/>
        </w:rPr>
        <w:t>3:00 p.m.</w:t>
      </w:r>
      <w:r w:rsidR="00B7083A">
        <w:rPr>
          <w:b/>
        </w:rPr>
        <w:t xml:space="preserve"> ET</w:t>
      </w:r>
      <w:r w:rsidR="00F41C73" w:rsidRPr="007E77A8">
        <w:t xml:space="preserve"> at</w:t>
      </w:r>
      <w:r w:rsidRPr="007E77A8">
        <w:t xml:space="preserve"> the U.S.</w:t>
      </w:r>
      <w:r w:rsidR="000B09B4">
        <w:t xml:space="preserve"> </w:t>
      </w:r>
      <w:r w:rsidRPr="007E77A8">
        <w:t xml:space="preserve">Courthouse, 900 Georgia Avenue, Chattanooga, Tennessee. </w:t>
      </w:r>
      <w:r w:rsidR="002E15B5" w:rsidRPr="007E77A8">
        <w:t xml:space="preserve">All lawyers who plan to participate </w:t>
      </w:r>
      <w:r w:rsidR="000B09B4">
        <w:t>i</w:t>
      </w:r>
      <w:r w:rsidR="002E15B5" w:rsidRPr="007E77A8">
        <w:t xml:space="preserve">n the trial must be present </w:t>
      </w:r>
      <w:r w:rsidR="002E15B5" w:rsidRPr="00EC027A">
        <w:t>in person</w:t>
      </w:r>
      <w:r w:rsidR="002E15B5" w:rsidRPr="007E77A8">
        <w:t xml:space="preserve"> at the final pretrial conference. </w:t>
      </w:r>
    </w:p>
    <w:p w14:paraId="6960D678" w14:textId="77777777" w:rsidR="00E06ED7" w:rsidRPr="007E77A8" w:rsidRDefault="00E06ED7" w:rsidP="007E77A8">
      <w:pPr>
        <w:widowControl w:val="0"/>
        <w:spacing w:before="100" w:beforeAutospacing="1" w:after="100" w:afterAutospacing="1"/>
        <w:ind w:left="720"/>
        <w:contextualSpacing/>
        <w:jc w:val="both"/>
      </w:pPr>
    </w:p>
    <w:p w14:paraId="1C34BC96" w14:textId="2811F4E0" w:rsidR="00E06ED7" w:rsidRPr="007E77A8" w:rsidRDefault="00E06ED7" w:rsidP="007E77A8">
      <w:pPr>
        <w:widowControl w:val="0"/>
        <w:numPr>
          <w:ilvl w:val="1"/>
          <w:numId w:val="16"/>
        </w:numPr>
        <w:spacing w:before="100" w:beforeAutospacing="1" w:after="100" w:afterAutospacing="1"/>
        <w:contextualSpacing/>
        <w:jc w:val="both"/>
      </w:pPr>
      <w:r w:rsidRPr="007E77A8">
        <w:rPr>
          <w:b/>
          <w:bCs/>
          <w:i/>
          <w:iCs/>
          <w:u w:val="single"/>
        </w:rPr>
        <w:t>Final Pretrial Order</w:t>
      </w:r>
      <w:r w:rsidRPr="007E77A8">
        <w:t xml:space="preserve">: </w:t>
      </w:r>
      <w:r w:rsidR="00342195" w:rsidRPr="007E77A8">
        <w:t xml:space="preserve">The parties shall submit a final pretrial order to the </w:t>
      </w:r>
      <w:r w:rsidR="00342195" w:rsidRPr="00BD098D">
        <w:t>Court</w:t>
      </w:r>
      <w:r w:rsidR="005415F2" w:rsidRPr="00BD098D">
        <w:t xml:space="preserve"> </w:t>
      </w:r>
      <w:r w:rsidR="006851ED" w:rsidRPr="00BD098D">
        <w:t>at least</w:t>
      </w:r>
      <w:r w:rsidR="006851ED" w:rsidRPr="007E77A8">
        <w:rPr>
          <w:b/>
          <w:bCs/>
        </w:rPr>
        <w:t xml:space="preserve"> </w:t>
      </w:r>
      <w:r w:rsidR="00E41882">
        <w:rPr>
          <w:b/>
          <w:bCs/>
        </w:rPr>
        <w:t>five</w:t>
      </w:r>
      <w:r w:rsidR="006851ED" w:rsidRPr="007E77A8">
        <w:rPr>
          <w:b/>
          <w:bCs/>
        </w:rPr>
        <w:t xml:space="preserve"> business days </w:t>
      </w:r>
      <w:r w:rsidR="006851ED" w:rsidRPr="00BD098D">
        <w:t>prior</w:t>
      </w:r>
      <w:r w:rsidR="00342195" w:rsidRPr="00BD098D">
        <w:t xml:space="preserve"> </w:t>
      </w:r>
      <w:r w:rsidR="00122ED7" w:rsidRPr="00BD098D">
        <w:t>to</w:t>
      </w:r>
      <w:r w:rsidR="00122ED7" w:rsidRPr="007E77A8">
        <w:t xml:space="preserve"> </w:t>
      </w:r>
      <w:r w:rsidR="00342195" w:rsidRPr="007E77A8">
        <w:t>the final pretrial conference</w:t>
      </w:r>
      <w:r w:rsidR="00122ED7" w:rsidRPr="007E77A8">
        <w:t xml:space="preserve"> by sending it to </w:t>
      </w:r>
      <w:r w:rsidR="00122ED7" w:rsidRPr="000B09B4">
        <w:rPr>
          <w:b/>
          <w:bCs/>
        </w:rPr>
        <w:t>atchley_chambers@tned.uscourts.gov</w:t>
      </w:r>
      <w:r w:rsidR="00122ED7" w:rsidRPr="007E77A8">
        <w:t>.</w:t>
      </w:r>
      <w:r w:rsidR="00342195" w:rsidRPr="007E77A8">
        <w:t xml:space="preserve"> A sample copy of the final pretrial order is located on the </w:t>
      </w:r>
      <w:r w:rsidR="00DB105B" w:rsidRPr="007E77A8">
        <w:t>Court’s</w:t>
      </w:r>
      <w:r w:rsidR="00342195" w:rsidRPr="007E77A8">
        <w:t xml:space="preserve"> </w:t>
      </w:r>
      <w:r w:rsidR="00342195" w:rsidRPr="007E77A8">
        <w:rPr>
          <w:rStyle w:val="Hyperlink"/>
          <w:color w:val="auto"/>
          <w:u w:val="none"/>
        </w:rPr>
        <w:t>web</w:t>
      </w:r>
      <w:r w:rsidR="00DB105B" w:rsidRPr="007E77A8">
        <w:rPr>
          <w:rStyle w:val="Hyperlink"/>
          <w:color w:val="auto"/>
          <w:u w:val="none"/>
        </w:rPr>
        <w:t>site</w:t>
      </w:r>
      <w:r w:rsidR="00D27E13" w:rsidRPr="007E77A8">
        <w:rPr>
          <w:bCs/>
        </w:rPr>
        <w:t xml:space="preserve"> at </w:t>
      </w:r>
      <w:r w:rsidRPr="000B09B4">
        <w:rPr>
          <w:b/>
          <w:bCs/>
        </w:rPr>
        <w:t>http://www.tned.uscourts.gov</w:t>
      </w:r>
      <w:r w:rsidR="00CE6FF2" w:rsidRPr="007E77A8">
        <w:rPr>
          <w:bCs/>
        </w:rPr>
        <w:t>.</w:t>
      </w:r>
      <w:r w:rsidR="00DB105B" w:rsidRPr="007E77A8">
        <w:t xml:space="preserve"> </w:t>
      </w:r>
    </w:p>
    <w:p w14:paraId="0B58E88C" w14:textId="77777777" w:rsidR="00E06ED7" w:rsidRPr="007E77A8" w:rsidRDefault="00E06ED7" w:rsidP="007E77A8">
      <w:pPr>
        <w:widowControl w:val="0"/>
        <w:spacing w:before="100" w:beforeAutospacing="1" w:after="100" w:afterAutospacing="1"/>
        <w:ind w:left="1440"/>
        <w:contextualSpacing/>
        <w:jc w:val="both"/>
      </w:pPr>
    </w:p>
    <w:p w14:paraId="2F1A0C0A" w14:textId="77777777" w:rsidR="00AC5F68" w:rsidRDefault="00E06ED7" w:rsidP="007E77A8">
      <w:pPr>
        <w:widowControl w:val="0"/>
        <w:numPr>
          <w:ilvl w:val="1"/>
          <w:numId w:val="16"/>
        </w:numPr>
        <w:spacing w:before="100" w:beforeAutospacing="1" w:after="100" w:afterAutospacing="1"/>
        <w:contextualSpacing/>
        <w:jc w:val="both"/>
      </w:pPr>
      <w:r w:rsidRPr="007E77A8">
        <w:rPr>
          <w:b/>
          <w:bCs/>
          <w:i/>
          <w:iCs/>
          <w:u w:val="single"/>
        </w:rPr>
        <w:t>Trial Briefs</w:t>
      </w:r>
      <w:r w:rsidRPr="007E77A8">
        <w:t xml:space="preserve">: </w:t>
      </w:r>
      <w:r w:rsidR="00DB105B" w:rsidRPr="007E77A8">
        <w:t>Any</w:t>
      </w:r>
      <w:r w:rsidR="00342195" w:rsidRPr="007E77A8">
        <w:t xml:space="preserve"> trial briefs </w:t>
      </w:r>
      <w:r w:rsidR="00DB105B" w:rsidRPr="007E77A8">
        <w:t>regarding</w:t>
      </w:r>
      <w:r w:rsidR="00342195" w:rsidRPr="007E77A8">
        <w:t xml:space="preserve"> anticipated evidentiary and legal issues </w:t>
      </w:r>
      <w:r w:rsidR="00DB105B" w:rsidRPr="007E77A8">
        <w:t xml:space="preserve">must be filed </w:t>
      </w:r>
      <w:r w:rsidR="00342195" w:rsidRPr="007E77A8">
        <w:t xml:space="preserve">at least </w:t>
      </w:r>
      <w:r w:rsidR="00342195" w:rsidRPr="007E77A8">
        <w:rPr>
          <w:b/>
          <w:bCs/>
        </w:rPr>
        <w:t>three business days</w:t>
      </w:r>
      <w:r w:rsidR="00342195" w:rsidRPr="007E77A8">
        <w:t xml:space="preserve"> before the </w:t>
      </w:r>
      <w:r w:rsidR="00DB105B" w:rsidRPr="007E77A8">
        <w:t>final pretrial conference</w:t>
      </w:r>
      <w:r w:rsidR="00342195" w:rsidRPr="007E77A8">
        <w:t>.</w:t>
      </w:r>
      <w:r w:rsidR="00366918" w:rsidRPr="007E77A8">
        <w:t xml:space="preserve"> </w:t>
      </w:r>
    </w:p>
    <w:p w14:paraId="4A70D42B" w14:textId="77777777" w:rsidR="00AC5F68" w:rsidRPr="00AC5F68" w:rsidRDefault="00AC5F68" w:rsidP="00AC5F68">
      <w:pPr>
        <w:widowControl w:val="0"/>
        <w:spacing w:before="100" w:beforeAutospacing="1" w:after="100" w:afterAutospacing="1"/>
        <w:ind w:left="1440"/>
        <w:contextualSpacing/>
        <w:jc w:val="both"/>
      </w:pPr>
      <w:bookmarkStart w:id="0" w:name="_Hlk77854057"/>
    </w:p>
    <w:p w14:paraId="3939E762" w14:textId="3401F716" w:rsidR="00AC5F68" w:rsidRDefault="00AC5F68" w:rsidP="00AC5F68">
      <w:pPr>
        <w:widowControl w:val="0"/>
        <w:numPr>
          <w:ilvl w:val="1"/>
          <w:numId w:val="16"/>
        </w:numPr>
        <w:spacing w:before="100" w:beforeAutospacing="1" w:after="100" w:afterAutospacing="1"/>
        <w:contextualSpacing/>
        <w:jc w:val="both"/>
      </w:pPr>
      <w:r>
        <w:rPr>
          <w:b/>
          <w:bCs/>
          <w:i/>
          <w:iCs/>
          <w:u w:val="single"/>
        </w:rPr>
        <w:t>Exhibits</w:t>
      </w:r>
      <w:r>
        <w:rPr>
          <w:i/>
          <w:iCs/>
        </w:rPr>
        <w:t xml:space="preserve">: </w:t>
      </w:r>
      <w:r w:rsidRPr="007E77A8">
        <w:t xml:space="preserve">Prior to the final pretrial conference, the </w:t>
      </w:r>
      <w:r>
        <w:t xml:space="preserve">parties shall meet and confer regarding the authenticity and admissibility of all exhibits they intend to use at trial. At least </w:t>
      </w:r>
      <w:r>
        <w:rPr>
          <w:b/>
          <w:bCs/>
        </w:rPr>
        <w:t>five business days</w:t>
      </w:r>
      <w:r>
        <w:t xml:space="preserve"> prior to the final pretrial conference, the </w:t>
      </w:r>
      <w:r w:rsidRPr="007E77A8">
        <w:t xml:space="preserve">parties </w:t>
      </w:r>
      <w:r>
        <w:t xml:space="preserve">must </w:t>
      </w:r>
      <w:r w:rsidRPr="007E77A8">
        <w:t xml:space="preserve">file an exhibit list with exhibits pre-marked for identification purposes. </w:t>
      </w:r>
    </w:p>
    <w:p w14:paraId="7D6E63BA" w14:textId="77777777" w:rsidR="00AC5F68" w:rsidRDefault="00AC5F68" w:rsidP="00AC5F68">
      <w:pPr>
        <w:widowControl w:val="0"/>
        <w:spacing w:before="100" w:beforeAutospacing="1" w:after="100" w:afterAutospacing="1"/>
        <w:ind w:left="1440"/>
        <w:contextualSpacing/>
        <w:jc w:val="both"/>
      </w:pPr>
    </w:p>
    <w:p w14:paraId="0EF4E191" w14:textId="77777777" w:rsidR="00AC5F68" w:rsidRPr="007E77A8" w:rsidRDefault="00AC5F68" w:rsidP="00AC5F68">
      <w:pPr>
        <w:widowControl w:val="0"/>
        <w:spacing w:before="100" w:beforeAutospacing="1" w:after="100" w:afterAutospacing="1"/>
        <w:ind w:left="1440"/>
        <w:contextualSpacing/>
        <w:jc w:val="both"/>
      </w:pPr>
      <w:r>
        <w:t>Counsel should be prepared to discuss any objections to a party’s exhibit list at the final pretrial conference.</w:t>
      </w:r>
    </w:p>
    <w:bookmarkEnd w:id="0"/>
    <w:p w14:paraId="2BF090E0" w14:textId="77777777" w:rsidR="007E77A8" w:rsidRPr="007E77A8" w:rsidRDefault="007E77A8" w:rsidP="007E77A8">
      <w:pPr>
        <w:widowControl w:val="0"/>
        <w:spacing w:before="100" w:beforeAutospacing="1" w:after="100" w:afterAutospacing="1"/>
        <w:contextualSpacing/>
        <w:jc w:val="both"/>
      </w:pPr>
    </w:p>
    <w:p w14:paraId="1B03BACC" w14:textId="045CD130" w:rsidR="00366918" w:rsidRPr="007E77A8" w:rsidRDefault="00E06ED7" w:rsidP="007E77A8">
      <w:pPr>
        <w:widowControl w:val="0"/>
        <w:numPr>
          <w:ilvl w:val="1"/>
          <w:numId w:val="16"/>
        </w:numPr>
        <w:spacing w:before="100" w:beforeAutospacing="1" w:after="100" w:afterAutospacing="1"/>
        <w:contextualSpacing/>
        <w:jc w:val="both"/>
      </w:pPr>
      <w:r w:rsidRPr="007E77A8">
        <w:rPr>
          <w:b/>
          <w:bCs/>
          <w:i/>
          <w:iCs/>
          <w:u w:val="single"/>
        </w:rPr>
        <w:t>Courtroom Technology</w:t>
      </w:r>
      <w:r w:rsidRPr="007E77A8">
        <w:t xml:space="preserve">: </w:t>
      </w:r>
      <w:r w:rsidR="000B09B4">
        <w:t>On or before _____</w:t>
      </w:r>
      <w:r w:rsidR="00366918" w:rsidRPr="007E77A8">
        <w:t>, the parties shall disclose to one another and to the Court the technology they intend to use in the courtroom during trial and how they intend to use it (</w:t>
      </w:r>
      <w:r w:rsidR="00366918" w:rsidRPr="007E77A8">
        <w:rPr>
          <w:i/>
          <w:iCs/>
        </w:rPr>
        <w:t>e.g.</w:t>
      </w:r>
      <w:r w:rsidR="00366918" w:rsidRPr="007E77A8">
        <w:t xml:space="preserve"> display equipment</w:t>
      </w:r>
      <w:r w:rsidR="000B09B4">
        <w:t>,</w:t>
      </w:r>
      <w:r w:rsidR="00366918" w:rsidRPr="007E77A8">
        <w:t xml:space="preserve"> data storage, retrieval, or presentation devices). This disclosure shall list (1) equipment </w:t>
      </w:r>
      <w:r w:rsidR="000B09B4">
        <w:t>they</w:t>
      </w:r>
      <w:r w:rsidR="00366918" w:rsidRPr="007E77A8">
        <w:t xml:space="preserve"> intend to bring into the courtroom and (2) </w:t>
      </w:r>
      <w:r w:rsidR="000B09B4">
        <w:t>Court-supplied</w:t>
      </w:r>
      <w:r w:rsidR="00366918" w:rsidRPr="007E77A8">
        <w:t xml:space="preserve"> equipment </w:t>
      </w:r>
      <w:r w:rsidR="000B09B4">
        <w:t>they</w:t>
      </w:r>
      <w:r w:rsidR="00366918" w:rsidRPr="007E77A8">
        <w:t xml:space="preserve"> intend to use. The parties shall confirm the compatibility and viability of their planned use of technology with the Court’s equipment.</w:t>
      </w:r>
      <w:r w:rsidR="004F608C" w:rsidRPr="007E77A8">
        <w:t xml:space="preserve"> General information regarding equipment supplied by the Court is available on the Court’s website; specific questions should be directed to courtroom deputy</w:t>
      </w:r>
      <w:r w:rsidR="0012074F">
        <w:t xml:space="preserve"> Allison Laster at </w:t>
      </w:r>
      <w:r w:rsidR="0012074F" w:rsidRPr="0012074F">
        <w:rPr>
          <w:b/>
          <w:bCs/>
        </w:rPr>
        <w:t>allison_laster@tned.uscourts.gov</w:t>
      </w:r>
      <w:r w:rsidR="0012074F">
        <w:t>.</w:t>
      </w:r>
    </w:p>
    <w:p w14:paraId="5C758A85" w14:textId="77777777" w:rsidR="00342195" w:rsidRPr="007E77A8" w:rsidRDefault="00342195" w:rsidP="007E77A8">
      <w:pPr>
        <w:spacing w:before="100" w:beforeAutospacing="1" w:after="100" w:afterAutospacing="1" w:line="260" w:lineRule="exact"/>
        <w:contextualSpacing/>
        <w:jc w:val="both"/>
      </w:pPr>
    </w:p>
    <w:p w14:paraId="4349AB1A" w14:textId="38BD3CFE" w:rsidR="00671247" w:rsidRPr="007E77A8" w:rsidRDefault="00342195" w:rsidP="007E77A8">
      <w:pPr>
        <w:widowControl w:val="0"/>
        <w:numPr>
          <w:ilvl w:val="0"/>
          <w:numId w:val="16"/>
        </w:numPr>
        <w:spacing w:before="100" w:beforeAutospacing="1" w:after="100" w:afterAutospacing="1"/>
        <w:contextualSpacing/>
        <w:jc w:val="both"/>
      </w:pPr>
      <w:r w:rsidRPr="007E77A8">
        <w:rPr>
          <w:b/>
          <w:bCs/>
          <w:i/>
          <w:u w:val="single" w:color="000000"/>
        </w:rPr>
        <w:t>Trial</w:t>
      </w:r>
      <w:r w:rsidRPr="007E77A8">
        <w:t>: The trial of this case will be held in Chattanooga</w:t>
      </w:r>
      <w:r w:rsidR="00671247" w:rsidRPr="007E77A8">
        <w:t>, Tennessee,</w:t>
      </w:r>
      <w:r w:rsidRPr="007E77A8">
        <w:t xml:space="preserve"> before the United States District Judge </w:t>
      </w:r>
      <w:r w:rsidR="00ED4A07">
        <w:t>(</w:t>
      </w:r>
      <w:r w:rsidRPr="00ED4A07">
        <w:rPr>
          <w:b/>
          <w:bCs/>
        </w:rPr>
        <w:t>and a jury</w:t>
      </w:r>
      <w:r w:rsidR="00ED4A07">
        <w:t>)</w:t>
      </w:r>
      <w:r w:rsidRPr="007E77A8">
        <w:rPr>
          <w:b/>
          <w:bCs/>
        </w:rPr>
        <w:t xml:space="preserve"> </w:t>
      </w:r>
      <w:r w:rsidRPr="007E77A8">
        <w:t>beginning on</w:t>
      </w:r>
      <w:r w:rsidR="0069107C" w:rsidRPr="007E77A8">
        <w:t xml:space="preserve"> </w:t>
      </w:r>
      <w:r w:rsidR="009C7006" w:rsidRPr="007E77A8">
        <w:rPr>
          <w:u w:val="single"/>
        </w:rPr>
        <w:tab/>
      </w:r>
      <w:r w:rsidR="009C7006" w:rsidRPr="007E77A8">
        <w:rPr>
          <w:u w:val="single"/>
        </w:rPr>
        <w:tab/>
      </w:r>
      <w:r w:rsidR="009C7006" w:rsidRPr="007E77A8">
        <w:rPr>
          <w:u w:val="single"/>
        </w:rPr>
        <w:tab/>
      </w:r>
      <w:r w:rsidR="00673F1E" w:rsidRPr="007E77A8">
        <w:t>,</w:t>
      </w:r>
      <w:r w:rsidR="00F41C73" w:rsidRPr="007E77A8">
        <w:t xml:space="preserve"> at </w:t>
      </w:r>
      <w:r w:rsidR="00F41C73" w:rsidRPr="007E77A8">
        <w:rPr>
          <w:b/>
        </w:rPr>
        <w:t>9:00 a.m</w:t>
      </w:r>
      <w:r w:rsidRPr="007E77A8">
        <w:rPr>
          <w:b/>
          <w:bCs/>
          <w:u w:color="000000"/>
        </w:rPr>
        <w:t>.</w:t>
      </w:r>
      <w:r w:rsidR="00D02F64" w:rsidRPr="007E77A8">
        <w:rPr>
          <w:b/>
          <w:bCs/>
          <w:u w:color="000000"/>
        </w:rPr>
        <w:t xml:space="preserve"> </w:t>
      </w:r>
      <w:r w:rsidR="00B7083A">
        <w:rPr>
          <w:b/>
          <w:bCs/>
          <w:u w:color="000000"/>
        </w:rPr>
        <w:t>ET</w:t>
      </w:r>
      <w:r w:rsidR="00B7083A">
        <w:rPr>
          <w:u w:color="000000"/>
        </w:rPr>
        <w:t>.</w:t>
      </w:r>
      <w:r w:rsidR="00D02F64" w:rsidRPr="007E77A8">
        <w:rPr>
          <w:b/>
          <w:bCs/>
          <w:u w:color="000000"/>
        </w:rPr>
        <w:t xml:space="preserve"> </w:t>
      </w:r>
      <w:r w:rsidR="004F608C" w:rsidRPr="007E77A8">
        <w:rPr>
          <w:u w:color="000000"/>
        </w:rPr>
        <w:t xml:space="preserve">The trial is expected to last </w:t>
      </w:r>
      <w:r w:rsidR="00ED4A07">
        <w:rPr>
          <w:u w:color="000000"/>
        </w:rPr>
        <w:t>_________________</w:t>
      </w:r>
      <w:r w:rsidR="004F608C" w:rsidRPr="007E77A8">
        <w:rPr>
          <w:u w:color="000000"/>
        </w:rPr>
        <w:t xml:space="preserve">. </w:t>
      </w:r>
      <w:r w:rsidRPr="007E77A8">
        <w:t>If this case is not heard immediately, it will be held in line until the following day or anytime during the week of the scheduled trial date.</w:t>
      </w:r>
      <w:r w:rsidR="00671247" w:rsidRPr="007E77A8">
        <w:t xml:space="preserve"> </w:t>
      </w:r>
    </w:p>
    <w:p w14:paraId="41EBAE1D" w14:textId="75941DF8" w:rsidR="00671247" w:rsidRDefault="00671247" w:rsidP="007E77A8">
      <w:pPr>
        <w:widowControl w:val="0"/>
        <w:spacing w:before="100" w:beforeAutospacing="1" w:after="100" w:afterAutospacing="1"/>
        <w:ind w:left="360"/>
        <w:contextualSpacing/>
        <w:jc w:val="both"/>
      </w:pPr>
    </w:p>
    <w:p w14:paraId="38DAB371" w14:textId="77777777" w:rsidR="00031A77" w:rsidRPr="007E77A8" w:rsidRDefault="00031A77" w:rsidP="007E77A8">
      <w:pPr>
        <w:widowControl w:val="0"/>
        <w:spacing w:before="100" w:beforeAutospacing="1" w:after="100" w:afterAutospacing="1"/>
        <w:ind w:left="360"/>
        <w:contextualSpacing/>
        <w:jc w:val="both"/>
      </w:pPr>
    </w:p>
    <w:p w14:paraId="244FF074" w14:textId="54371ADB" w:rsidR="009472D6" w:rsidRPr="007E77A8" w:rsidRDefault="00342195" w:rsidP="00266FAE">
      <w:pPr>
        <w:widowControl w:val="0"/>
        <w:spacing w:before="100" w:beforeAutospacing="1" w:after="100" w:afterAutospacing="1"/>
        <w:contextualSpacing/>
        <w:jc w:val="both"/>
      </w:pPr>
      <w:r w:rsidRPr="007E77A8">
        <w:rPr>
          <w:b/>
          <w:bCs/>
        </w:rPr>
        <w:t>SHOULD THE SCHEDULED TRIAL DATE CHANGE FOR ANY REASON, THE OTHER DATES CONTAINED IN THIS ORDER SHALL REMAIN AS SCHEDULED.</w:t>
      </w:r>
      <w:r w:rsidR="00366918" w:rsidRPr="007E77A8">
        <w:rPr>
          <w:b/>
          <w:bCs/>
        </w:rPr>
        <w:t xml:space="preserve"> </w:t>
      </w:r>
      <w:r w:rsidR="002E15B5" w:rsidRPr="007E77A8">
        <w:rPr>
          <w:b/>
          <w:bCs/>
        </w:rPr>
        <w:t>ANY FURTHER MODIFICATION OF THE DATES HEREIN MUST BE SOUGHT BY A MOTION TO MODIFY THOSE DATES/ DEADLINES</w:t>
      </w:r>
      <w:r w:rsidRPr="007E77A8">
        <w:rPr>
          <w:b/>
          <w:bCs/>
        </w:rPr>
        <w:t>.</w:t>
      </w:r>
      <w:r w:rsidRPr="007E77A8">
        <w:rPr>
          <w:rStyle w:val="FootnoteReference"/>
          <w:bCs/>
        </w:rPr>
        <w:footnoteReference w:id="1"/>
      </w:r>
    </w:p>
    <w:p w14:paraId="29C84757" w14:textId="77777777" w:rsidR="0069107C" w:rsidRPr="007E77A8" w:rsidRDefault="0069107C" w:rsidP="007E77A8">
      <w:pPr>
        <w:widowControl w:val="0"/>
        <w:spacing w:before="100" w:beforeAutospacing="1" w:after="100" w:afterAutospacing="1"/>
        <w:contextualSpacing/>
        <w:jc w:val="both"/>
      </w:pPr>
    </w:p>
    <w:p w14:paraId="0365AD1A" w14:textId="77777777" w:rsidR="0069107C" w:rsidRPr="007E77A8" w:rsidRDefault="0069107C" w:rsidP="007E77A8">
      <w:pPr>
        <w:widowControl w:val="0"/>
        <w:autoSpaceDE w:val="0"/>
        <w:autoSpaceDN w:val="0"/>
        <w:adjustRightInd w:val="0"/>
        <w:spacing w:before="100" w:beforeAutospacing="1" w:after="100" w:afterAutospacing="1" w:line="276" w:lineRule="auto"/>
        <w:ind w:left="360" w:firstLine="360"/>
        <w:contextualSpacing/>
        <w:jc w:val="both"/>
        <w:rPr>
          <w:b/>
        </w:rPr>
      </w:pPr>
      <w:r w:rsidRPr="007E77A8">
        <w:rPr>
          <w:b/>
        </w:rPr>
        <w:t>SO ORDERED.</w:t>
      </w:r>
    </w:p>
    <w:sectPr w:rsidR="0069107C" w:rsidRPr="007E77A8" w:rsidSect="0035490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0E8B" w14:textId="77777777" w:rsidR="004D5515" w:rsidRDefault="004D5515">
      <w:r>
        <w:separator/>
      </w:r>
    </w:p>
  </w:endnote>
  <w:endnote w:type="continuationSeparator" w:id="0">
    <w:p w14:paraId="598E858D" w14:textId="77777777" w:rsidR="004D5515" w:rsidRDefault="004D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C6EB4" w14:textId="77777777" w:rsidR="004D5515" w:rsidRDefault="004D5515">
      <w:r>
        <w:separator/>
      </w:r>
    </w:p>
  </w:footnote>
  <w:footnote w:type="continuationSeparator" w:id="0">
    <w:p w14:paraId="123BFCF7" w14:textId="77777777" w:rsidR="004D5515" w:rsidRDefault="004D5515">
      <w:r>
        <w:continuationSeparator/>
      </w:r>
    </w:p>
  </w:footnote>
  <w:footnote w:id="1">
    <w:p w14:paraId="772BB115" w14:textId="4D37EE0A" w:rsidR="00342195" w:rsidRPr="007D65D5" w:rsidRDefault="00342195" w:rsidP="00BD4397">
      <w:pPr>
        <w:pStyle w:val="FootnoteText"/>
        <w:jc w:val="both"/>
        <w:rPr>
          <w:sz w:val="24"/>
          <w:szCs w:val="24"/>
        </w:rPr>
      </w:pPr>
      <w:r w:rsidRPr="007D65D5">
        <w:rPr>
          <w:rStyle w:val="FootnoteReference"/>
          <w:sz w:val="24"/>
          <w:szCs w:val="24"/>
        </w:rPr>
        <w:footnoteRef/>
      </w:r>
      <w:r w:rsidRPr="007D65D5">
        <w:rPr>
          <w:sz w:val="24"/>
          <w:szCs w:val="24"/>
        </w:rPr>
        <w:t xml:space="preserve"> </w:t>
      </w:r>
      <w:r w:rsidR="004F608C">
        <w:rPr>
          <w:rFonts w:eastAsia="Calibri"/>
          <w:sz w:val="24"/>
          <w:szCs w:val="24"/>
        </w:rPr>
        <w:t>Due to the</w:t>
      </w:r>
      <w:r w:rsidRPr="007D65D5">
        <w:rPr>
          <w:rFonts w:eastAsia="Calibri"/>
          <w:sz w:val="24"/>
          <w:szCs w:val="24"/>
        </w:rPr>
        <w:t xml:space="preserve"> demands of the Court’s docket</w:t>
      </w:r>
      <w:r w:rsidR="004F608C">
        <w:rPr>
          <w:rFonts w:eastAsia="Calibri"/>
          <w:sz w:val="24"/>
          <w:szCs w:val="24"/>
        </w:rPr>
        <w:t>,</w:t>
      </w:r>
      <w:r w:rsidRPr="007D65D5">
        <w:rPr>
          <w:rFonts w:eastAsia="Calibri"/>
          <w:sz w:val="24"/>
          <w:szCs w:val="24"/>
        </w:rPr>
        <w:t xml:space="preserve"> all</w:t>
      </w:r>
      <w:r>
        <w:rPr>
          <w:rFonts w:eastAsia="Calibri"/>
          <w:sz w:val="24"/>
          <w:szCs w:val="24"/>
        </w:rPr>
        <w:t xml:space="preserve"> </w:t>
      </w:r>
      <w:r w:rsidR="004F608C">
        <w:rPr>
          <w:rFonts w:eastAsia="Calibri"/>
          <w:sz w:val="24"/>
          <w:szCs w:val="24"/>
        </w:rPr>
        <w:t xml:space="preserve">civil trials and </w:t>
      </w:r>
      <w:r>
        <w:rPr>
          <w:rFonts w:eastAsia="Calibri"/>
          <w:sz w:val="24"/>
          <w:szCs w:val="24"/>
        </w:rPr>
        <w:t xml:space="preserve">pretrial hearings </w:t>
      </w:r>
      <w:r w:rsidR="004F608C">
        <w:rPr>
          <w:rFonts w:eastAsia="Calibri"/>
          <w:sz w:val="24"/>
          <w:szCs w:val="24"/>
        </w:rPr>
        <w:t>are</w:t>
      </w:r>
      <w:r>
        <w:rPr>
          <w:rFonts w:eastAsia="Calibri"/>
          <w:sz w:val="24"/>
          <w:szCs w:val="24"/>
        </w:rPr>
        <w:t xml:space="preserve"> conducted</w:t>
      </w:r>
      <w:r w:rsidRPr="007D65D5">
        <w:rPr>
          <w:rFonts w:eastAsia="Calibri"/>
          <w:sz w:val="24"/>
          <w:szCs w:val="24"/>
        </w:rPr>
        <w:t xml:space="preserve"> in Chattanooga, Tennessee. </w:t>
      </w:r>
      <w:r>
        <w:rPr>
          <w:rFonts w:eastAsia="Calibri"/>
          <w:sz w:val="24"/>
          <w:szCs w:val="24"/>
        </w:rPr>
        <w:t>T</w:t>
      </w:r>
      <w:r w:rsidRPr="007D65D5">
        <w:rPr>
          <w:rFonts w:eastAsia="Calibri"/>
          <w:sz w:val="24"/>
          <w:szCs w:val="24"/>
        </w:rPr>
        <w:t xml:space="preserve">he Court will entertain </w:t>
      </w:r>
      <w:r w:rsidR="004F608C">
        <w:rPr>
          <w:rFonts w:eastAsia="Calibri"/>
          <w:sz w:val="24"/>
          <w:szCs w:val="24"/>
        </w:rPr>
        <w:t xml:space="preserve">a </w:t>
      </w:r>
      <w:r w:rsidRPr="007D65D5">
        <w:rPr>
          <w:rFonts w:eastAsia="Calibri"/>
          <w:sz w:val="24"/>
          <w:szCs w:val="24"/>
        </w:rPr>
        <w:t xml:space="preserve">motion to conduct trial in another division of this Court upon a showing of good cause by the parties. Any such motions must be filed </w:t>
      </w:r>
      <w:r w:rsidRPr="007D65D5">
        <w:rPr>
          <w:rFonts w:eastAsia="Calibri"/>
          <w:b/>
          <w:sz w:val="24"/>
          <w:szCs w:val="24"/>
        </w:rPr>
        <w:t>after the dispositive motions deadline but no later than four weeks before the final pretrial conference</w:t>
      </w:r>
      <w:r w:rsidRPr="007D65D5">
        <w:rPr>
          <w:rFonts w:eastAsia="Calibri"/>
          <w:sz w:val="24"/>
          <w:szCs w:val="24"/>
        </w:rPr>
        <w:t>, and the grant or denial of the same rests in the Court’s discretion.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2C80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DAC8D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289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F435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FED4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5ECF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C32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28A7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600C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4A76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B1714"/>
    <w:multiLevelType w:val="hybridMultilevel"/>
    <w:tmpl w:val="25C2CE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69307C"/>
    <w:multiLevelType w:val="hybridMultilevel"/>
    <w:tmpl w:val="74B6FCA6"/>
    <w:lvl w:ilvl="0" w:tplc="3544F902">
      <w:start w:val="1"/>
      <w:numFmt w:val="decimal"/>
      <w:lvlText w:val="%1."/>
      <w:lvlJc w:val="left"/>
      <w:pPr>
        <w:ind w:left="720" w:hanging="360"/>
      </w:pPr>
      <w:rPr>
        <w:b/>
        <w:bCs/>
        <w:i w:val="0"/>
      </w:rPr>
    </w:lvl>
    <w:lvl w:ilvl="1" w:tplc="416AE8A6">
      <w:start w:val="1"/>
      <w:numFmt w:val="lowerLetter"/>
      <w:lvlText w:val="(%2)"/>
      <w:lvlJc w:val="left"/>
      <w:pPr>
        <w:ind w:left="1440" w:hanging="360"/>
      </w:pPr>
      <w:rPr>
        <w:rFonts w:hint="default"/>
      </w:rPr>
    </w:lvl>
    <w:lvl w:ilvl="2" w:tplc="62BC5460">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E44BC1"/>
    <w:multiLevelType w:val="multilevel"/>
    <w:tmpl w:val="DB468A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AA25E80"/>
    <w:multiLevelType w:val="multilevel"/>
    <w:tmpl w:val="4404BADA"/>
    <w:lvl w:ilvl="0">
      <w:start w:val="1"/>
      <w:numFmt w:val="decimal"/>
      <w:pStyle w:val="Heading1"/>
      <w:lvlText w:val="%1."/>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Heading2"/>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563428A"/>
    <w:multiLevelType w:val="hybridMultilevel"/>
    <w:tmpl w:val="E5D8222C"/>
    <w:lvl w:ilvl="0" w:tplc="94EEE588">
      <w:start w:val="1"/>
      <w:numFmt w:val="lowerLetter"/>
      <w:lvlText w:val="(%1)"/>
      <w:lvlJc w:val="left"/>
      <w:pPr>
        <w:tabs>
          <w:tab w:val="num" w:pos="72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603F18"/>
    <w:multiLevelType w:val="hybridMultilevel"/>
    <w:tmpl w:val="9BA489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DBB38E2"/>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4"/>
  </w:num>
  <w:num w:numId="2">
    <w:abstractNumId w:val="12"/>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1"/>
  </w:num>
  <w:num w:numId="17">
    <w:abstractNumId w:val="10"/>
  </w:num>
  <w:num w:numId="18">
    <w:abstractNumId w:val="15"/>
  </w:num>
  <w:num w:numId="19">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removePersonalInformation/>
  <w:removeDateAndTime/>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lickAndTypeStyle w:val="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ActiveDesign" w:val="Heading"/>
    <w:docVar w:name="SWAllDesigns" w:val="Heading|"/>
    <w:docVar w:name="SWAllLineBreaks" w:val="Heading~~0|0|0|0|0|0|0|0|0|@@"/>
  </w:docVars>
  <w:rsids>
    <w:rsidRoot w:val="00D02F64"/>
    <w:rsid w:val="00006FD1"/>
    <w:rsid w:val="0001110E"/>
    <w:rsid w:val="000138EF"/>
    <w:rsid w:val="00014289"/>
    <w:rsid w:val="000147B5"/>
    <w:rsid w:val="00015795"/>
    <w:rsid w:val="00020C72"/>
    <w:rsid w:val="0003123E"/>
    <w:rsid w:val="00031A77"/>
    <w:rsid w:val="00034B05"/>
    <w:rsid w:val="000515DB"/>
    <w:rsid w:val="00051B0B"/>
    <w:rsid w:val="00051E8A"/>
    <w:rsid w:val="00061585"/>
    <w:rsid w:val="00065F25"/>
    <w:rsid w:val="000668A7"/>
    <w:rsid w:val="000721BE"/>
    <w:rsid w:val="00073AB9"/>
    <w:rsid w:val="00080460"/>
    <w:rsid w:val="00081F9E"/>
    <w:rsid w:val="000824B2"/>
    <w:rsid w:val="00084C29"/>
    <w:rsid w:val="00085EED"/>
    <w:rsid w:val="00087644"/>
    <w:rsid w:val="000876FA"/>
    <w:rsid w:val="000911AD"/>
    <w:rsid w:val="000978AD"/>
    <w:rsid w:val="00097E44"/>
    <w:rsid w:val="000B09B4"/>
    <w:rsid w:val="000B265D"/>
    <w:rsid w:val="000B4331"/>
    <w:rsid w:val="000C646A"/>
    <w:rsid w:val="000C6CC3"/>
    <w:rsid w:val="000C737C"/>
    <w:rsid w:val="000C78CC"/>
    <w:rsid w:val="000D24E9"/>
    <w:rsid w:val="000D2A7C"/>
    <w:rsid w:val="000E2F7C"/>
    <w:rsid w:val="000E5102"/>
    <w:rsid w:val="000E5342"/>
    <w:rsid w:val="000E78E9"/>
    <w:rsid w:val="000F492A"/>
    <w:rsid w:val="000F5000"/>
    <w:rsid w:val="0010654D"/>
    <w:rsid w:val="00106B84"/>
    <w:rsid w:val="0011204A"/>
    <w:rsid w:val="00117194"/>
    <w:rsid w:val="0012074F"/>
    <w:rsid w:val="00122ED7"/>
    <w:rsid w:val="001242FE"/>
    <w:rsid w:val="00125B1A"/>
    <w:rsid w:val="00130C4A"/>
    <w:rsid w:val="00132435"/>
    <w:rsid w:val="0013280D"/>
    <w:rsid w:val="00133C5E"/>
    <w:rsid w:val="0013436D"/>
    <w:rsid w:val="00134C8A"/>
    <w:rsid w:val="001356F9"/>
    <w:rsid w:val="001365AF"/>
    <w:rsid w:val="001427A8"/>
    <w:rsid w:val="0015003E"/>
    <w:rsid w:val="001521B1"/>
    <w:rsid w:val="00156914"/>
    <w:rsid w:val="0015718E"/>
    <w:rsid w:val="0015738F"/>
    <w:rsid w:val="001600B5"/>
    <w:rsid w:val="00160110"/>
    <w:rsid w:val="001646D6"/>
    <w:rsid w:val="00165854"/>
    <w:rsid w:val="00165EE0"/>
    <w:rsid w:val="00176123"/>
    <w:rsid w:val="001806FB"/>
    <w:rsid w:val="001822C5"/>
    <w:rsid w:val="00182D07"/>
    <w:rsid w:val="00191517"/>
    <w:rsid w:val="0019746F"/>
    <w:rsid w:val="001A2402"/>
    <w:rsid w:val="001B34A1"/>
    <w:rsid w:val="001B47DC"/>
    <w:rsid w:val="001B5C65"/>
    <w:rsid w:val="001B6D7A"/>
    <w:rsid w:val="001B6EBA"/>
    <w:rsid w:val="001C1315"/>
    <w:rsid w:val="001C4213"/>
    <w:rsid w:val="001C71C7"/>
    <w:rsid w:val="001E15C3"/>
    <w:rsid w:val="001E6954"/>
    <w:rsid w:val="001F24E6"/>
    <w:rsid w:val="001F7B36"/>
    <w:rsid w:val="00201671"/>
    <w:rsid w:val="00202C9D"/>
    <w:rsid w:val="002066D8"/>
    <w:rsid w:val="00206792"/>
    <w:rsid w:val="00210AF0"/>
    <w:rsid w:val="00211BE4"/>
    <w:rsid w:val="00215D23"/>
    <w:rsid w:val="00216055"/>
    <w:rsid w:val="0021737E"/>
    <w:rsid w:val="00223491"/>
    <w:rsid w:val="002236C2"/>
    <w:rsid w:val="00224133"/>
    <w:rsid w:val="0023114A"/>
    <w:rsid w:val="00233762"/>
    <w:rsid w:val="00234661"/>
    <w:rsid w:val="0023673B"/>
    <w:rsid w:val="002369E3"/>
    <w:rsid w:val="0024046E"/>
    <w:rsid w:val="002439A4"/>
    <w:rsid w:val="00246975"/>
    <w:rsid w:val="0025048D"/>
    <w:rsid w:val="00251A75"/>
    <w:rsid w:val="00252769"/>
    <w:rsid w:val="002536AB"/>
    <w:rsid w:val="002551F5"/>
    <w:rsid w:val="00260369"/>
    <w:rsid w:val="00260BE9"/>
    <w:rsid w:val="00261B06"/>
    <w:rsid w:val="0026289A"/>
    <w:rsid w:val="002640C4"/>
    <w:rsid w:val="00266FAE"/>
    <w:rsid w:val="00267E34"/>
    <w:rsid w:val="002719E8"/>
    <w:rsid w:val="002769CC"/>
    <w:rsid w:val="0028201D"/>
    <w:rsid w:val="002825A1"/>
    <w:rsid w:val="00284D7A"/>
    <w:rsid w:val="002866CC"/>
    <w:rsid w:val="002878E3"/>
    <w:rsid w:val="002917D1"/>
    <w:rsid w:val="0029655E"/>
    <w:rsid w:val="002A2001"/>
    <w:rsid w:val="002A2593"/>
    <w:rsid w:val="002A7524"/>
    <w:rsid w:val="002B2E62"/>
    <w:rsid w:val="002C21E9"/>
    <w:rsid w:val="002C44FC"/>
    <w:rsid w:val="002D495C"/>
    <w:rsid w:val="002D7C9A"/>
    <w:rsid w:val="002E05BB"/>
    <w:rsid w:val="002E0813"/>
    <w:rsid w:val="002E15B5"/>
    <w:rsid w:val="002E56EA"/>
    <w:rsid w:val="002E6369"/>
    <w:rsid w:val="002F1366"/>
    <w:rsid w:val="002F1E0F"/>
    <w:rsid w:val="002F3146"/>
    <w:rsid w:val="003017F3"/>
    <w:rsid w:val="00305020"/>
    <w:rsid w:val="00320DC5"/>
    <w:rsid w:val="0032365F"/>
    <w:rsid w:val="00324B8D"/>
    <w:rsid w:val="00326242"/>
    <w:rsid w:val="003265A1"/>
    <w:rsid w:val="00326E0B"/>
    <w:rsid w:val="00342195"/>
    <w:rsid w:val="00343F4B"/>
    <w:rsid w:val="0034567F"/>
    <w:rsid w:val="00350FA1"/>
    <w:rsid w:val="00354542"/>
    <w:rsid w:val="00354908"/>
    <w:rsid w:val="003602EC"/>
    <w:rsid w:val="00361C41"/>
    <w:rsid w:val="003664B6"/>
    <w:rsid w:val="00366918"/>
    <w:rsid w:val="0037661F"/>
    <w:rsid w:val="0037665E"/>
    <w:rsid w:val="00380493"/>
    <w:rsid w:val="0038073D"/>
    <w:rsid w:val="00381ED8"/>
    <w:rsid w:val="00391057"/>
    <w:rsid w:val="00392541"/>
    <w:rsid w:val="003A20F0"/>
    <w:rsid w:val="003A7341"/>
    <w:rsid w:val="003B01FF"/>
    <w:rsid w:val="003B0689"/>
    <w:rsid w:val="003B132B"/>
    <w:rsid w:val="003B16AC"/>
    <w:rsid w:val="003B31E3"/>
    <w:rsid w:val="003B426A"/>
    <w:rsid w:val="003C1B6C"/>
    <w:rsid w:val="003C7955"/>
    <w:rsid w:val="003D44DF"/>
    <w:rsid w:val="003D4754"/>
    <w:rsid w:val="003D6DF5"/>
    <w:rsid w:val="003E104D"/>
    <w:rsid w:val="003E3DC2"/>
    <w:rsid w:val="003E54E7"/>
    <w:rsid w:val="004247D9"/>
    <w:rsid w:val="004303C7"/>
    <w:rsid w:val="00431CE4"/>
    <w:rsid w:val="00435084"/>
    <w:rsid w:val="004350D4"/>
    <w:rsid w:val="00435B3B"/>
    <w:rsid w:val="0043790A"/>
    <w:rsid w:val="00440C12"/>
    <w:rsid w:val="004459B8"/>
    <w:rsid w:val="0046112E"/>
    <w:rsid w:val="0046767A"/>
    <w:rsid w:val="004703A5"/>
    <w:rsid w:val="00472B00"/>
    <w:rsid w:val="00472F2E"/>
    <w:rsid w:val="00485BD7"/>
    <w:rsid w:val="00487313"/>
    <w:rsid w:val="004972FA"/>
    <w:rsid w:val="004A0770"/>
    <w:rsid w:val="004A4D39"/>
    <w:rsid w:val="004A6701"/>
    <w:rsid w:val="004B06DA"/>
    <w:rsid w:val="004B1E00"/>
    <w:rsid w:val="004B32C3"/>
    <w:rsid w:val="004B64B4"/>
    <w:rsid w:val="004C2397"/>
    <w:rsid w:val="004C7F89"/>
    <w:rsid w:val="004D0028"/>
    <w:rsid w:val="004D4ACF"/>
    <w:rsid w:val="004D5515"/>
    <w:rsid w:val="004E16F8"/>
    <w:rsid w:val="004E1D3C"/>
    <w:rsid w:val="004E36EE"/>
    <w:rsid w:val="004E5AFB"/>
    <w:rsid w:val="004F5437"/>
    <w:rsid w:val="004F608C"/>
    <w:rsid w:val="004F7BCD"/>
    <w:rsid w:val="00501FEC"/>
    <w:rsid w:val="005032AA"/>
    <w:rsid w:val="00505542"/>
    <w:rsid w:val="00506DB1"/>
    <w:rsid w:val="00507080"/>
    <w:rsid w:val="00512566"/>
    <w:rsid w:val="00512676"/>
    <w:rsid w:val="00521C1C"/>
    <w:rsid w:val="005306ED"/>
    <w:rsid w:val="005316B3"/>
    <w:rsid w:val="00534890"/>
    <w:rsid w:val="005362F1"/>
    <w:rsid w:val="005415F2"/>
    <w:rsid w:val="005432F2"/>
    <w:rsid w:val="0054745E"/>
    <w:rsid w:val="0055541D"/>
    <w:rsid w:val="00561F95"/>
    <w:rsid w:val="0056654C"/>
    <w:rsid w:val="0057286B"/>
    <w:rsid w:val="00576990"/>
    <w:rsid w:val="00581614"/>
    <w:rsid w:val="00583321"/>
    <w:rsid w:val="0058639D"/>
    <w:rsid w:val="00587A7F"/>
    <w:rsid w:val="00595C0B"/>
    <w:rsid w:val="005A1C36"/>
    <w:rsid w:val="005A5086"/>
    <w:rsid w:val="005A6338"/>
    <w:rsid w:val="005B0B04"/>
    <w:rsid w:val="005B22F2"/>
    <w:rsid w:val="005B4A67"/>
    <w:rsid w:val="005B591B"/>
    <w:rsid w:val="005B6807"/>
    <w:rsid w:val="005B7B47"/>
    <w:rsid w:val="005D0368"/>
    <w:rsid w:val="005D41EF"/>
    <w:rsid w:val="005D46A9"/>
    <w:rsid w:val="005D7D65"/>
    <w:rsid w:val="005E0B8A"/>
    <w:rsid w:val="005E21F3"/>
    <w:rsid w:val="005E26EB"/>
    <w:rsid w:val="005E44CB"/>
    <w:rsid w:val="005F4115"/>
    <w:rsid w:val="005F7008"/>
    <w:rsid w:val="005F7B11"/>
    <w:rsid w:val="00601EB5"/>
    <w:rsid w:val="00603A45"/>
    <w:rsid w:val="00604F06"/>
    <w:rsid w:val="00606018"/>
    <w:rsid w:val="00606359"/>
    <w:rsid w:val="006143F5"/>
    <w:rsid w:val="0061695F"/>
    <w:rsid w:val="00617D5E"/>
    <w:rsid w:val="0062179B"/>
    <w:rsid w:val="00621BE1"/>
    <w:rsid w:val="006222A2"/>
    <w:rsid w:val="0062764B"/>
    <w:rsid w:val="00627F4B"/>
    <w:rsid w:val="00630E7A"/>
    <w:rsid w:val="00635E27"/>
    <w:rsid w:val="0063653C"/>
    <w:rsid w:val="00636C89"/>
    <w:rsid w:val="006444BC"/>
    <w:rsid w:val="00645AA1"/>
    <w:rsid w:val="00655BCD"/>
    <w:rsid w:val="00656C86"/>
    <w:rsid w:val="00657E07"/>
    <w:rsid w:val="0066167F"/>
    <w:rsid w:val="00671247"/>
    <w:rsid w:val="0067184E"/>
    <w:rsid w:val="00671DD2"/>
    <w:rsid w:val="00673F1E"/>
    <w:rsid w:val="00676782"/>
    <w:rsid w:val="006807C1"/>
    <w:rsid w:val="00681A0A"/>
    <w:rsid w:val="00681EFC"/>
    <w:rsid w:val="006851ED"/>
    <w:rsid w:val="0069107C"/>
    <w:rsid w:val="00691CBF"/>
    <w:rsid w:val="006946FA"/>
    <w:rsid w:val="006947CF"/>
    <w:rsid w:val="00694B92"/>
    <w:rsid w:val="00695E5C"/>
    <w:rsid w:val="0069653C"/>
    <w:rsid w:val="006A0990"/>
    <w:rsid w:val="006A3736"/>
    <w:rsid w:val="006A595D"/>
    <w:rsid w:val="006B5C32"/>
    <w:rsid w:val="006B7F73"/>
    <w:rsid w:val="006C0CC5"/>
    <w:rsid w:val="006C5B46"/>
    <w:rsid w:val="006C73B2"/>
    <w:rsid w:val="006D2892"/>
    <w:rsid w:val="006D3CC6"/>
    <w:rsid w:val="006D7AD5"/>
    <w:rsid w:val="006E1E8A"/>
    <w:rsid w:val="006E374A"/>
    <w:rsid w:val="006E69E5"/>
    <w:rsid w:val="006F477C"/>
    <w:rsid w:val="006F6F0D"/>
    <w:rsid w:val="00704519"/>
    <w:rsid w:val="00707929"/>
    <w:rsid w:val="00711530"/>
    <w:rsid w:val="00722793"/>
    <w:rsid w:val="00723070"/>
    <w:rsid w:val="00723A63"/>
    <w:rsid w:val="00727F37"/>
    <w:rsid w:val="00731517"/>
    <w:rsid w:val="007360FB"/>
    <w:rsid w:val="00740D8B"/>
    <w:rsid w:val="007467D4"/>
    <w:rsid w:val="00755E01"/>
    <w:rsid w:val="0076664B"/>
    <w:rsid w:val="007712ED"/>
    <w:rsid w:val="007722C2"/>
    <w:rsid w:val="00774FD0"/>
    <w:rsid w:val="007758AC"/>
    <w:rsid w:val="00777E6B"/>
    <w:rsid w:val="00782165"/>
    <w:rsid w:val="00796419"/>
    <w:rsid w:val="007A198D"/>
    <w:rsid w:val="007A3D00"/>
    <w:rsid w:val="007A4071"/>
    <w:rsid w:val="007A5128"/>
    <w:rsid w:val="007A7430"/>
    <w:rsid w:val="007B2109"/>
    <w:rsid w:val="007B5682"/>
    <w:rsid w:val="007C17EA"/>
    <w:rsid w:val="007C20EE"/>
    <w:rsid w:val="007C481B"/>
    <w:rsid w:val="007C7229"/>
    <w:rsid w:val="007D115A"/>
    <w:rsid w:val="007D4924"/>
    <w:rsid w:val="007E0055"/>
    <w:rsid w:val="007E2330"/>
    <w:rsid w:val="007E5964"/>
    <w:rsid w:val="007E59CA"/>
    <w:rsid w:val="007E69E9"/>
    <w:rsid w:val="007E7157"/>
    <w:rsid w:val="007E77A8"/>
    <w:rsid w:val="007F3D31"/>
    <w:rsid w:val="007F746F"/>
    <w:rsid w:val="008038D1"/>
    <w:rsid w:val="0080664D"/>
    <w:rsid w:val="00810224"/>
    <w:rsid w:val="00810B11"/>
    <w:rsid w:val="00811772"/>
    <w:rsid w:val="008163C3"/>
    <w:rsid w:val="00823F47"/>
    <w:rsid w:val="00826D87"/>
    <w:rsid w:val="00826FFA"/>
    <w:rsid w:val="00835F0D"/>
    <w:rsid w:val="00841722"/>
    <w:rsid w:val="00851B97"/>
    <w:rsid w:val="0085576B"/>
    <w:rsid w:val="00857BF8"/>
    <w:rsid w:val="0087230A"/>
    <w:rsid w:val="0088467C"/>
    <w:rsid w:val="008906C7"/>
    <w:rsid w:val="008913C9"/>
    <w:rsid w:val="008A753D"/>
    <w:rsid w:val="008B0EF6"/>
    <w:rsid w:val="008B14DA"/>
    <w:rsid w:val="008B2D6B"/>
    <w:rsid w:val="008C17DA"/>
    <w:rsid w:val="008C393F"/>
    <w:rsid w:val="008C41D1"/>
    <w:rsid w:val="008D2805"/>
    <w:rsid w:val="008D479A"/>
    <w:rsid w:val="008D4DD6"/>
    <w:rsid w:val="008E33F0"/>
    <w:rsid w:val="008E625A"/>
    <w:rsid w:val="008E6448"/>
    <w:rsid w:val="008E763A"/>
    <w:rsid w:val="00902EF7"/>
    <w:rsid w:val="00905FAE"/>
    <w:rsid w:val="00912EE3"/>
    <w:rsid w:val="00913A1A"/>
    <w:rsid w:val="00914533"/>
    <w:rsid w:val="00923E16"/>
    <w:rsid w:val="0093162D"/>
    <w:rsid w:val="00945A82"/>
    <w:rsid w:val="00945FFB"/>
    <w:rsid w:val="009472D6"/>
    <w:rsid w:val="00954559"/>
    <w:rsid w:val="009739AF"/>
    <w:rsid w:val="00974EC4"/>
    <w:rsid w:val="009766B0"/>
    <w:rsid w:val="009774C9"/>
    <w:rsid w:val="009869C0"/>
    <w:rsid w:val="009A469E"/>
    <w:rsid w:val="009A4B73"/>
    <w:rsid w:val="009A5CA2"/>
    <w:rsid w:val="009B0703"/>
    <w:rsid w:val="009B1465"/>
    <w:rsid w:val="009B2BF9"/>
    <w:rsid w:val="009B555A"/>
    <w:rsid w:val="009B6B46"/>
    <w:rsid w:val="009C485C"/>
    <w:rsid w:val="009C67C7"/>
    <w:rsid w:val="009C7006"/>
    <w:rsid w:val="009C7389"/>
    <w:rsid w:val="009D40C2"/>
    <w:rsid w:val="009D5ED4"/>
    <w:rsid w:val="009D600E"/>
    <w:rsid w:val="009D6BC3"/>
    <w:rsid w:val="009E1BC5"/>
    <w:rsid w:val="009E24AB"/>
    <w:rsid w:val="009E4923"/>
    <w:rsid w:val="009F1531"/>
    <w:rsid w:val="009F17FB"/>
    <w:rsid w:val="00A00F66"/>
    <w:rsid w:val="00A0769E"/>
    <w:rsid w:val="00A1341C"/>
    <w:rsid w:val="00A138DF"/>
    <w:rsid w:val="00A1552A"/>
    <w:rsid w:val="00A1627B"/>
    <w:rsid w:val="00A22002"/>
    <w:rsid w:val="00A23E8E"/>
    <w:rsid w:val="00A26FA5"/>
    <w:rsid w:val="00A30F5B"/>
    <w:rsid w:val="00A320A6"/>
    <w:rsid w:val="00A61EF4"/>
    <w:rsid w:val="00A64601"/>
    <w:rsid w:val="00A65FBA"/>
    <w:rsid w:val="00A6688F"/>
    <w:rsid w:val="00A66A9F"/>
    <w:rsid w:val="00A71BA1"/>
    <w:rsid w:val="00A71BED"/>
    <w:rsid w:val="00A7484B"/>
    <w:rsid w:val="00A81A99"/>
    <w:rsid w:val="00A83872"/>
    <w:rsid w:val="00A85DE4"/>
    <w:rsid w:val="00A95531"/>
    <w:rsid w:val="00A96257"/>
    <w:rsid w:val="00A9701C"/>
    <w:rsid w:val="00AA5F08"/>
    <w:rsid w:val="00AA6E20"/>
    <w:rsid w:val="00AB2DFA"/>
    <w:rsid w:val="00AB53EC"/>
    <w:rsid w:val="00AC1A27"/>
    <w:rsid w:val="00AC2806"/>
    <w:rsid w:val="00AC2953"/>
    <w:rsid w:val="00AC3663"/>
    <w:rsid w:val="00AC5EFF"/>
    <w:rsid w:val="00AC5F68"/>
    <w:rsid w:val="00AD57E3"/>
    <w:rsid w:val="00AD708C"/>
    <w:rsid w:val="00AE3E31"/>
    <w:rsid w:val="00AE3EB1"/>
    <w:rsid w:val="00AE4CC1"/>
    <w:rsid w:val="00AE6B26"/>
    <w:rsid w:val="00AE753F"/>
    <w:rsid w:val="00AF037C"/>
    <w:rsid w:val="00AF084D"/>
    <w:rsid w:val="00AF3223"/>
    <w:rsid w:val="00AF4726"/>
    <w:rsid w:val="00B01EFA"/>
    <w:rsid w:val="00B0231A"/>
    <w:rsid w:val="00B02913"/>
    <w:rsid w:val="00B03BA9"/>
    <w:rsid w:val="00B04D10"/>
    <w:rsid w:val="00B100D3"/>
    <w:rsid w:val="00B167F7"/>
    <w:rsid w:val="00B252BB"/>
    <w:rsid w:val="00B25974"/>
    <w:rsid w:val="00B34284"/>
    <w:rsid w:val="00B37791"/>
    <w:rsid w:val="00B40187"/>
    <w:rsid w:val="00B40E5B"/>
    <w:rsid w:val="00B410BA"/>
    <w:rsid w:val="00B44646"/>
    <w:rsid w:val="00B47827"/>
    <w:rsid w:val="00B47D18"/>
    <w:rsid w:val="00B50E28"/>
    <w:rsid w:val="00B5481E"/>
    <w:rsid w:val="00B54C3E"/>
    <w:rsid w:val="00B56046"/>
    <w:rsid w:val="00B5782F"/>
    <w:rsid w:val="00B60078"/>
    <w:rsid w:val="00B62948"/>
    <w:rsid w:val="00B6298A"/>
    <w:rsid w:val="00B65C4F"/>
    <w:rsid w:val="00B677CC"/>
    <w:rsid w:val="00B677E2"/>
    <w:rsid w:val="00B7083A"/>
    <w:rsid w:val="00B71E1F"/>
    <w:rsid w:val="00B72100"/>
    <w:rsid w:val="00B75D8F"/>
    <w:rsid w:val="00B76E6A"/>
    <w:rsid w:val="00B77CF3"/>
    <w:rsid w:val="00B80AA0"/>
    <w:rsid w:val="00B82B44"/>
    <w:rsid w:val="00B830A3"/>
    <w:rsid w:val="00B85796"/>
    <w:rsid w:val="00B86C8C"/>
    <w:rsid w:val="00B86DA6"/>
    <w:rsid w:val="00B91B89"/>
    <w:rsid w:val="00B934DA"/>
    <w:rsid w:val="00B94A48"/>
    <w:rsid w:val="00BA09B3"/>
    <w:rsid w:val="00BA29EA"/>
    <w:rsid w:val="00BA446D"/>
    <w:rsid w:val="00BA44C8"/>
    <w:rsid w:val="00BB0D7E"/>
    <w:rsid w:val="00BC008B"/>
    <w:rsid w:val="00BC04CB"/>
    <w:rsid w:val="00BC5F1F"/>
    <w:rsid w:val="00BD098D"/>
    <w:rsid w:val="00BD4397"/>
    <w:rsid w:val="00BD4635"/>
    <w:rsid w:val="00BD630B"/>
    <w:rsid w:val="00BE002B"/>
    <w:rsid w:val="00BE19F5"/>
    <w:rsid w:val="00BE5E7B"/>
    <w:rsid w:val="00BF45BB"/>
    <w:rsid w:val="00C02B34"/>
    <w:rsid w:val="00C05EB4"/>
    <w:rsid w:val="00C1067E"/>
    <w:rsid w:val="00C1109D"/>
    <w:rsid w:val="00C12A9C"/>
    <w:rsid w:val="00C2378F"/>
    <w:rsid w:val="00C30F96"/>
    <w:rsid w:val="00C3207A"/>
    <w:rsid w:val="00C37FE2"/>
    <w:rsid w:val="00C4203E"/>
    <w:rsid w:val="00C52ADE"/>
    <w:rsid w:val="00C55BC2"/>
    <w:rsid w:val="00C56DDA"/>
    <w:rsid w:val="00C66235"/>
    <w:rsid w:val="00C67B29"/>
    <w:rsid w:val="00C71031"/>
    <w:rsid w:val="00C828AB"/>
    <w:rsid w:val="00C83CF0"/>
    <w:rsid w:val="00C8451F"/>
    <w:rsid w:val="00C877F3"/>
    <w:rsid w:val="00C91AA1"/>
    <w:rsid w:val="00C92382"/>
    <w:rsid w:val="00C95147"/>
    <w:rsid w:val="00C95349"/>
    <w:rsid w:val="00C95568"/>
    <w:rsid w:val="00C973CE"/>
    <w:rsid w:val="00CA0F8A"/>
    <w:rsid w:val="00CA185A"/>
    <w:rsid w:val="00CA2B92"/>
    <w:rsid w:val="00CA2C70"/>
    <w:rsid w:val="00CA4820"/>
    <w:rsid w:val="00CB2EBC"/>
    <w:rsid w:val="00CB3604"/>
    <w:rsid w:val="00CB5887"/>
    <w:rsid w:val="00CC0F9B"/>
    <w:rsid w:val="00CC1BD8"/>
    <w:rsid w:val="00CC4914"/>
    <w:rsid w:val="00CC5EAB"/>
    <w:rsid w:val="00CC6419"/>
    <w:rsid w:val="00CC7332"/>
    <w:rsid w:val="00CD12F1"/>
    <w:rsid w:val="00CD409C"/>
    <w:rsid w:val="00CD4EA6"/>
    <w:rsid w:val="00CD742A"/>
    <w:rsid w:val="00CD7ACB"/>
    <w:rsid w:val="00CE66E1"/>
    <w:rsid w:val="00CE6FF2"/>
    <w:rsid w:val="00CF3431"/>
    <w:rsid w:val="00CF534E"/>
    <w:rsid w:val="00CF5865"/>
    <w:rsid w:val="00CF59ED"/>
    <w:rsid w:val="00D02F64"/>
    <w:rsid w:val="00D03A71"/>
    <w:rsid w:val="00D078BE"/>
    <w:rsid w:val="00D15222"/>
    <w:rsid w:val="00D26339"/>
    <w:rsid w:val="00D26D5C"/>
    <w:rsid w:val="00D27E13"/>
    <w:rsid w:val="00D31059"/>
    <w:rsid w:val="00D34A6E"/>
    <w:rsid w:val="00D3586A"/>
    <w:rsid w:val="00D438F2"/>
    <w:rsid w:val="00D47E3A"/>
    <w:rsid w:val="00D50C5D"/>
    <w:rsid w:val="00D565BA"/>
    <w:rsid w:val="00D643B1"/>
    <w:rsid w:val="00D643C9"/>
    <w:rsid w:val="00D64F01"/>
    <w:rsid w:val="00D650F3"/>
    <w:rsid w:val="00D675C9"/>
    <w:rsid w:val="00D70913"/>
    <w:rsid w:val="00D72419"/>
    <w:rsid w:val="00D75248"/>
    <w:rsid w:val="00D75815"/>
    <w:rsid w:val="00D76A22"/>
    <w:rsid w:val="00D80205"/>
    <w:rsid w:val="00D80D24"/>
    <w:rsid w:val="00D82245"/>
    <w:rsid w:val="00D95709"/>
    <w:rsid w:val="00D95DF2"/>
    <w:rsid w:val="00D95FE1"/>
    <w:rsid w:val="00DA5350"/>
    <w:rsid w:val="00DA6B96"/>
    <w:rsid w:val="00DA6D1E"/>
    <w:rsid w:val="00DA7AC3"/>
    <w:rsid w:val="00DA7B61"/>
    <w:rsid w:val="00DB105B"/>
    <w:rsid w:val="00DB13C7"/>
    <w:rsid w:val="00DB7690"/>
    <w:rsid w:val="00DC5CC4"/>
    <w:rsid w:val="00DD120E"/>
    <w:rsid w:val="00DE14BA"/>
    <w:rsid w:val="00DE3EAC"/>
    <w:rsid w:val="00DE7ADF"/>
    <w:rsid w:val="00DF06C6"/>
    <w:rsid w:val="00DF16B4"/>
    <w:rsid w:val="00DF38F6"/>
    <w:rsid w:val="00DF5D8E"/>
    <w:rsid w:val="00DF659D"/>
    <w:rsid w:val="00DF65B0"/>
    <w:rsid w:val="00E00976"/>
    <w:rsid w:val="00E03F6A"/>
    <w:rsid w:val="00E05969"/>
    <w:rsid w:val="00E05B2C"/>
    <w:rsid w:val="00E06ED7"/>
    <w:rsid w:val="00E121E6"/>
    <w:rsid w:val="00E15A0A"/>
    <w:rsid w:val="00E20906"/>
    <w:rsid w:val="00E26862"/>
    <w:rsid w:val="00E30D4C"/>
    <w:rsid w:val="00E36EDF"/>
    <w:rsid w:val="00E41882"/>
    <w:rsid w:val="00E42B5B"/>
    <w:rsid w:val="00E47451"/>
    <w:rsid w:val="00E56D15"/>
    <w:rsid w:val="00E56E7A"/>
    <w:rsid w:val="00E650EF"/>
    <w:rsid w:val="00E74DFB"/>
    <w:rsid w:val="00E77136"/>
    <w:rsid w:val="00E80115"/>
    <w:rsid w:val="00E80CFA"/>
    <w:rsid w:val="00E83023"/>
    <w:rsid w:val="00E925BD"/>
    <w:rsid w:val="00E9470F"/>
    <w:rsid w:val="00E95E02"/>
    <w:rsid w:val="00EA01AC"/>
    <w:rsid w:val="00EA1D62"/>
    <w:rsid w:val="00EA5520"/>
    <w:rsid w:val="00EA7795"/>
    <w:rsid w:val="00EB0CBC"/>
    <w:rsid w:val="00EC027A"/>
    <w:rsid w:val="00EC1506"/>
    <w:rsid w:val="00EC4ADF"/>
    <w:rsid w:val="00ED1442"/>
    <w:rsid w:val="00ED4A07"/>
    <w:rsid w:val="00ED59F9"/>
    <w:rsid w:val="00EE068C"/>
    <w:rsid w:val="00EE55B6"/>
    <w:rsid w:val="00EE57D8"/>
    <w:rsid w:val="00EF3CB2"/>
    <w:rsid w:val="00EF7712"/>
    <w:rsid w:val="00F036C8"/>
    <w:rsid w:val="00F10DEF"/>
    <w:rsid w:val="00F10F7B"/>
    <w:rsid w:val="00F1301F"/>
    <w:rsid w:val="00F16F76"/>
    <w:rsid w:val="00F307DC"/>
    <w:rsid w:val="00F31F2A"/>
    <w:rsid w:val="00F349FD"/>
    <w:rsid w:val="00F352BF"/>
    <w:rsid w:val="00F3576A"/>
    <w:rsid w:val="00F3596D"/>
    <w:rsid w:val="00F3633D"/>
    <w:rsid w:val="00F37324"/>
    <w:rsid w:val="00F41C73"/>
    <w:rsid w:val="00F43BF7"/>
    <w:rsid w:val="00F46825"/>
    <w:rsid w:val="00F51D90"/>
    <w:rsid w:val="00F52199"/>
    <w:rsid w:val="00F530ED"/>
    <w:rsid w:val="00F53348"/>
    <w:rsid w:val="00F5436B"/>
    <w:rsid w:val="00F56181"/>
    <w:rsid w:val="00F57617"/>
    <w:rsid w:val="00F71B70"/>
    <w:rsid w:val="00F743A9"/>
    <w:rsid w:val="00F80C36"/>
    <w:rsid w:val="00F80DE0"/>
    <w:rsid w:val="00F90BB6"/>
    <w:rsid w:val="00F928B6"/>
    <w:rsid w:val="00F9293E"/>
    <w:rsid w:val="00F94FBC"/>
    <w:rsid w:val="00FA120C"/>
    <w:rsid w:val="00FA3AF4"/>
    <w:rsid w:val="00FA50B5"/>
    <w:rsid w:val="00FA6716"/>
    <w:rsid w:val="00FB07D2"/>
    <w:rsid w:val="00FB1B2F"/>
    <w:rsid w:val="00FB2841"/>
    <w:rsid w:val="00FC0C51"/>
    <w:rsid w:val="00FC20C1"/>
    <w:rsid w:val="00FC2705"/>
    <w:rsid w:val="00FC2BA9"/>
    <w:rsid w:val="00FC49A5"/>
    <w:rsid w:val="00FD16E3"/>
    <w:rsid w:val="00FD4089"/>
    <w:rsid w:val="00FE24FC"/>
    <w:rsid w:val="00FF0E35"/>
    <w:rsid w:val="00FF3717"/>
    <w:rsid w:val="00FF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B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36D"/>
    <w:rPr>
      <w:sz w:val="24"/>
      <w:szCs w:val="24"/>
    </w:rPr>
  </w:style>
  <w:style w:type="paragraph" w:styleId="Heading1">
    <w:name w:val="heading 1"/>
    <w:basedOn w:val="Normal"/>
    <w:qFormat/>
    <w:rsid w:val="0026289A"/>
    <w:pPr>
      <w:numPr>
        <w:numId w:val="3"/>
      </w:numPr>
      <w:spacing w:line="480" w:lineRule="auto"/>
      <w:jc w:val="both"/>
      <w:outlineLvl w:val="0"/>
    </w:pPr>
    <w:rPr>
      <w:bCs/>
      <w:szCs w:val="32"/>
    </w:rPr>
  </w:style>
  <w:style w:type="paragraph" w:styleId="Heading2">
    <w:name w:val="heading 2"/>
    <w:basedOn w:val="Normal"/>
    <w:next w:val="BodyText"/>
    <w:qFormat/>
    <w:rsid w:val="0026289A"/>
    <w:pPr>
      <w:numPr>
        <w:ilvl w:val="1"/>
        <w:numId w:val="3"/>
      </w:numPr>
      <w:jc w:val="both"/>
      <w:outlineLvl w:val="1"/>
    </w:pPr>
    <w:rPr>
      <w:bCs/>
      <w:iCs/>
      <w:szCs w:val="28"/>
    </w:rPr>
  </w:style>
  <w:style w:type="paragraph" w:styleId="Heading3">
    <w:name w:val="heading 3"/>
    <w:basedOn w:val="Normal"/>
    <w:next w:val="BodyText"/>
    <w:qFormat/>
    <w:rsid w:val="0026289A"/>
    <w:pPr>
      <w:numPr>
        <w:ilvl w:val="2"/>
        <w:numId w:val="3"/>
      </w:numPr>
      <w:jc w:val="both"/>
      <w:outlineLvl w:val="2"/>
    </w:pPr>
    <w:rPr>
      <w:bCs/>
      <w:szCs w:val="26"/>
    </w:rPr>
  </w:style>
  <w:style w:type="paragraph" w:styleId="Heading4">
    <w:name w:val="heading 4"/>
    <w:basedOn w:val="Normal"/>
    <w:next w:val="BodyText"/>
    <w:qFormat/>
    <w:rsid w:val="0026289A"/>
    <w:pPr>
      <w:numPr>
        <w:ilvl w:val="3"/>
        <w:numId w:val="3"/>
      </w:numPr>
      <w:jc w:val="both"/>
      <w:outlineLvl w:val="3"/>
    </w:pPr>
    <w:rPr>
      <w:bCs/>
      <w:szCs w:val="28"/>
    </w:rPr>
  </w:style>
  <w:style w:type="paragraph" w:styleId="Heading5">
    <w:name w:val="heading 5"/>
    <w:basedOn w:val="Normal"/>
    <w:next w:val="BodyText"/>
    <w:qFormat/>
    <w:rsid w:val="0026289A"/>
    <w:pPr>
      <w:numPr>
        <w:ilvl w:val="4"/>
        <w:numId w:val="3"/>
      </w:numPr>
      <w:jc w:val="both"/>
      <w:outlineLvl w:val="4"/>
    </w:pPr>
    <w:rPr>
      <w:bCs/>
      <w:iCs/>
      <w:szCs w:val="26"/>
    </w:rPr>
  </w:style>
  <w:style w:type="paragraph" w:styleId="Heading6">
    <w:name w:val="heading 6"/>
    <w:basedOn w:val="Normal"/>
    <w:next w:val="BodyText"/>
    <w:qFormat/>
    <w:rsid w:val="0026289A"/>
    <w:pPr>
      <w:numPr>
        <w:ilvl w:val="5"/>
        <w:numId w:val="3"/>
      </w:numPr>
      <w:jc w:val="both"/>
      <w:outlineLvl w:val="5"/>
    </w:pPr>
    <w:rPr>
      <w:bCs/>
      <w:szCs w:val="22"/>
    </w:rPr>
  </w:style>
  <w:style w:type="paragraph" w:styleId="Heading7">
    <w:name w:val="heading 7"/>
    <w:basedOn w:val="Normal"/>
    <w:next w:val="BodyText"/>
    <w:qFormat/>
    <w:rsid w:val="0026289A"/>
    <w:pPr>
      <w:numPr>
        <w:ilvl w:val="6"/>
        <w:numId w:val="3"/>
      </w:numPr>
      <w:jc w:val="both"/>
      <w:outlineLvl w:val="6"/>
    </w:pPr>
  </w:style>
  <w:style w:type="paragraph" w:styleId="Heading8">
    <w:name w:val="heading 8"/>
    <w:basedOn w:val="Normal"/>
    <w:next w:val="BodyText"/>
    <w:qFormat/>
    <w:rsid w:val="0026289A"/>
    <w:pPr>
      <w:numPr>
        <w:ilvl w:val="7"/>
        <w:numId w:val="3"/>
      </w:numPr>
      <w:jc w:val="both"/>
      <w:outlineLvl w:val="7"/>
    </w:pPr>
    <w:rPr>
      <w:iCs/>
    </w:rPr>
  </w:style>
  <w:style w:type="paragraph" w:styleId="Heading9">
    <w:name w:val="heading 9"/>
    <w:basedOn w:val="Normal"/>
    <w:next w:val="BodyText"/>
    <w:qFormat/>
    <w:rsid w:val="0026289A"/>
    <w:pPr>
      <w:numPr>
        <w:ilvl w:val="8"/>
        <w:numId w:val="3"/>
      </w:numPr>
      <w:jc w:val="both"/>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SS">
    <w:name w:val="1st Line Indent SS"/>
    <w:basedOn w:val="Normal"/>
    <w:rsid w:val="0013436D"/>
    <w:pPr>
      <w:spacing w:after="240"/>
      <w:ind w:firstLine="720"/>
      <w:jc w:val="both"/>
    </w:pPr>
  </w:style>
  <w:style w:type="paragraph" w:customStyle="1" w:styleId="1stLineIndentDS">
    <w:name w:val="1st Line Indent DS"/>
    <w:basedOn w:val="1stLineIndentSS"/>
    <w:rsid w:val="0013436D"/>
    <w:pPr>
      <w:spacing w:after="0" w:line="480" w:lineRule="auto"/>
    </w:pPr>
  </w:style>
  <w:style w:type="paragraph" w:customStyle="1" w:styleId="BlockDS">
    <w:name w:val="Block DS"/>
    <w:basedOn w:val="Normal"/>
    <w:rsid w:val="0013436D"/>
    <w:pPr>
      <w:spacing w:line="480" w:lineRule="auto"/>
      <w:jc w:val="both"/>
    </w:pPr>
  </w:style>
  <w:style w:type="paragraph" w:customStyle="1" w:styleId="BlockSS">
    <w:name w:val="Block SS"/>
    <w:basedOn w:val="Normal"/>
    <w:rsid w:val="0013436D"/>
    <w:pPr>
      <w:spacing w:after="240"/>
      <w:jc w:val="both"/>
    </w:pPr>
  </w:style>
  <w:style w:type="paragraph" w:styleId="BodyText">
    <w:name w:val="Body Text"/>
    <w:basedOn w:val="Normal"/>
    <w:rsid w:val="0013436D"/>
    <w:pPr>
      <w:spacing w:after="240"/>
      <w:jc w:val="both"/>
    </w:pPr>
  </w:style>
  <w:style w:type="paragraph" w:styleId="BodyText2">
    <w:name w:val="Body Text 2"/>
    <w:basedOn w:val="Normal"/>
    <w:rsid w:val="0013436D"/>
    <w:pPr>
      <w:spacing w:after="240" w:line="480" w:lineRule="auto"/>
      <w:jc w:val="both"/>
    </w:pPr>
  </w:style>
  <w:style w:type="paragraph" w:styleId="BodyText3">
    <w:name w:val="Body Text 3"/>
    <w:basedOn w:val="Normal"/>
    <w:rsid w:val="0013436D"/>
    <w:pPr>
      <w:spacing w:after="120"/>
      <w:jc w:val="both"/>
    </w:pPr>
    <w:rPr>
      <w:sz w:val="16"/>
      <w:szCs w:val="16"/>
    </w:rPr>
  </w:style>
  <w:style w:type="paragraph" w:styleId="BodyTextFirstIndent">
    <w:name w:val="Body Text First Indent"/>
    <w:basedOn w:val="BodyText"/>
    <w:rsid w:val="0013436D"/>
    <w:pPr>
      <w:ind w:firstLine="720"/>
      <w:jc w:val="left"/>
    </w:pPr>
  </w:style>
  <w:style w:type="paragraph" w:styleId="BodyTextIndent">
    <w:name w:val="Body Text Indent"/>
    <w:basedOn w:val="Normal"/>
    <w:rsid w:val="0013436D"/>
    <w:pPr>
      <w:spacing w:after="240"/>
      <w:ind w:left="720" w:firstLine="720"/>
    </w:pPr>
  </w:style>
  <w:style w:type="paragraph" w:styleId="BodyTextFirstIndent2">
    <w:name w:val="Body Text First Indent 2"/>
    <w:basedOn w:val="BodyTextIndent"/>
    <w:rsid w:val="0013436D"/>
    <w:pPr>
      <w:spacing w:line="480" w:lineRule="auto"/>
      <w:ind w:left="0"/>
    </w:pPr>
  </w:style>
  <w:style w:type="paragraph" w:styleId="BodyTextIndent2">
    <w:name w:val="Body Text Indent 2"/>
    <w:basedOn w:val="Normal"/>
    <w:rsid w:val="0013436D"/>
    <w:pPr>
      <w:spacing w:after="240" w:line="480" w:lineRule="auto"/>
      <w:ind w:left="720"/>
    </w:pPr>
  </w:style>
  <w:style w:type="paragraph" w:styleId="BodyTextIndent3">
    <w:name w:val="Body Text Indent 3"/>
    <w:basedOn w:val="Normal"/>
    <w:rsid w:val="0013436D"/>
    <w:pPr>
      <w:spacing w:after="120"/>
      <w:ind w:left="720"/>
    </w:pPr>
    <w:rPr>
      <w:sz w:val="16"/>
      <w:szCs w:val="16"/>
    </w:rPr>
  </w:style>
  <w:style w:type="paragraph" w:styleId="EnvelopeAddress">
    <w:name w:val="envelope address"/>
    <w:basedOn w:val="Normal"/>
    <w:rsid w:val="00DE7ADF"/>
    <w:pPr>
      <w:framePr w:w="7920" w:h="1980" w:hRule="exact" w:hSpace="180" w:wrap="auto" w:hAnchor="page" w:xAlign="center" w:yAlign="bottom"/>
      <w:ind w:left="2880"/>
    </w:pPr>
    <w:rPr>
      <w:rFonts w:cs="Arial"/>
    </w:rPr>
  </w:style>
  <w:style w:type="paragraph" w:styleId="EnvelopeReturn">
    <w:name w:val="envelope return"/>
    <w:basedOn w:val="Normal"/>
    <w:rsid w:val="00DE7ADF"/>
    <w:rPr>
      <w:rFonts w:cs="Arial"/>
      <w:sz w:val="20"/>
      <w:szCs w:val="20"/>
    </w:rPr>
  </w:style>
  <w:style w:type="paragraph" w:styleId="Footer">
    <w:name w:val="footer"/>
    <w:basedOn w:val="Normal"/>
    <w:link w:val="FooterChar"/>
    <w:rsid w:val="0013436D"/>
    <w:pPr>
      <w:tabs>
        <w:tab w:val="center" w:pos="4608"/>
        <w:tab w:val="right" w:pos="9360"/>
      </w:tabs>
    </w:pPr>
  </w:style>
  <w:style w:type="paragraph" w:styleId="Header">
    <w:name w:val="header"/>
    <w:basedOn w:val="Normal"/>
    <w:rsid w:val="00DE7ADF"/>
    <w:pPr>
      <w:tabs>
        <w:tab w:val="center" w:pos="4608"/>
        <w:tab w:val="right" w:pos="9360"/>
      </w:tabs>
    </w:pPr>
  </w:style>
  <w:style w:type="paragraph" w:customStyle="1" w:styleId="QuoteSingleIndent">
    <w:name w:val="Quote Single Indent"/>
    <w:basedOn w:val="Normal"/>
    <w:rsid w:val="0013436D"/>
    <w:pPr>
      <w:spacing w:after="240"/>
      <w:ind w:left="720" w:right="720"/>
      <w:jc w:val="both"/>
    </w:pPr>
  </w:style>
  <w:style w:type="paragraph" w:customStyle="1" w:styleId="QuoteDoubleIndent">
    <w:name w:val="Quote Double Indent"/>
    <w:basedOn w:val="QuoteSingleIndent"/>
    <w:next w:val="1stLineIndentSS"/>
    <w:rsid w:val="0013436D"/>
    <w:pPr>
      <w:ind w:left="1440" w:right="1440"/>
    </w:pPr>
  </w:style>
  <w:style w:type="paragraph" w:customStyle="1" w:styleId="TitleBold">
    <w:name w:val="Title Bold"/>
    <w:basedOn w:val="Normal"/>
    <w:next w:val="1stLineIndentSS"/>
    <w:rsid w:val="0013436D"/>
    <w:pPr>
      <w:keepNext/>
      <w:spacing w:after="240"/>
      <w:jc w:val="center"/>
    </w:pPr>
    <w:rPr>
      <w:rFonts w:ascii="Times New Roman Bold" w:hAnsi="Times New Roman Bold"/>
      <w:b/>
      <w:caps/>
    </w:rPr>
  </w:style>
  <w:style w:type="paragraph" w:customStyle="1" w:styleId="TitleBoldUnderline">
    <w:name w:val="Title Bold Underline"/>
    <w:basedOn w:val="Normal"/>
    <w:next w:val="1stLineIndentSS"/>
    <w:rsid w:val="0013436D"/>
    <w:pPr>
      <w:keepNext/>
      <w:spacing w:after="240"/>
      <w:jc w:val="center"/>
    </w:pPr>
    <w:rPr>
      <w:rFonts w:ascii="Times New Roman Bold" w:hAnsi="Times New Roman Bold"/>
      <w:b/>
      <w:caps/>
      <w:u w:val="single"/>
    </w:rPr>
  </w:style>
  <w:style w:type="table" w:styleId="TableGrid">
    <w:name w:val="Table Grid"/>
    <w:basedOn w:val="TableNormal"/>
    <w:rsid w:val="006D7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21"/>
  </w:style>
  <w:style w:type="paragraph" w:styleId="FootnoteText">
    <w:name w:val="footnote text"/>
    <w:basedOn w:val="Normal"/>
    <w:link w:val="FootnoteTextChar"/>
    <w:uiPriority w:val="99"/>
    <w:semiHidden/>
    <w:rsid w:val="005362F1"/>
    <w:rPr>
      <w:sz w:val="20"/>
      <w:szCs w:val="20"/>
    </w:rPr>
  </w:style>
  <w:style w:type="character" w:styleId="FootnoteReference">
    <w:name w:val="footnote reference"/>
    <w:uiPriority w:val="99"/>
    <w:semiHidden/>
    <w:rsid w:val="005362F1"/>
    <w:rPr>
      <w:vertAlign w:val="superscript"/>
    </w:rPr>
  </w:style>
  <w:style w:type="paragraph" w:customStyle="1" w:styleId="To">
    <w:name w:val="To"/>
    <w:basedOn w:val="Normal"/>
    <w:rsid w:val="002236C2"/>
    <w:rPr>
      <w:szCs w:val="20"/>
    </w:rPr>
  </w:style>
  <w:style w:type="character" w:styleId="Hyperlink">
    <w:name w:val="Hyperlink"/>
    <w:uiPriority w:val="99"/>
    <w:rsid w:val="00AE753F"/>
    <w:rPr>
      <w:color w:val="0000FF"/>
      <w:u w:val="single"/>
    </w:rPr>
  </w:style>
  <w:style w:type="character" w:customStyle="1" w:styleId="FooterChar">
    <w:name w:val="Footer Char"/>
    <w:link w:val="Footer"/>
    <w:rsid w:val="00AE753F"/>
    <w:rPr>
      <w:sz w:val="24"/>
      <w:szCs w:val="24"/>
      <w:lang w:val="en-US" w:eastAsia="en-US" w:bidi="ar-SA"/>
    </w:rPr>
  </w:style>
  <w:style w:type="paragraph" w:styleId="Signature">
    <w:name w:val="Signature"/>
    <w:basedOn w:val="Normal"/>
    <w:rsid w:val="00B677E2"/>
    <w:pPr>
      <w:ind w:left="4320"/>
    </w:pPr>
  </w:style>
  <w:style w:type="paragraph" w:customStyle="1" w:styleId="Pleading-FirmName">
    <w:name w:val="Pleading-Firm Name"/>
    <w:basedOn w:val="Normal"/>
    <w:next w:val="Normal"/>
    <w:link w:val="Pleading-FirmNameChar"/>
    <w:rsid w:val="004A6701"/>
    <w:pPr>
      <w:keepLines/>
      <w:spacing w:after="480"/>
      <w:ind w:left="5040"/>
    </w:pPr>
    <w:rPr>
      <w:rFonts w:ascii="Times New Roman Bold" w:hAnsi="Times New Roman Bold"/>
      <w:b/>
      <w:caps/>
    </w:rPr>
  </w:style>
  <w:style w:type="paragraph" w:customStyle="1" w:styleId="Pleading-Signature">
    <w:name w:val="Pleading-Signature"/>
    <w:basedOn w:val="Normal"/>
    <w:next w:val="Normal"/>
    <w:link w:val="Pleading-SignatureChar"/>
    <w:rsid w:val="004A6701"/>
    <w:pPr>
      <w:keepNext/>
      <w:ind w:left="5040"/>
    </w:pPr>
  </w:style>
  <w:style w:type="character" w:customStyle="1" w:styleId="Pleading-SignatureChar">
    <w:name w:val="Pleading-Signature Char"/>
    <w:link w:val="Pleading-Signature"/>
    <w:rsid w:val="004A6701"/>
    <w:rPr>
      <w:sz w:val="24"/>
      <w:szCs w:val="24"/>
      <w:lang w:val="en-US" w:eastAsia="en-US" w:bidi="ar-SA"/>
    </w:rPr>
  </w:style>
  <w:style w:type="character" w:customStyle="1" w:styleId="Pleading-FirmNameChar">
    <w:name w:val="Pleading-Firm Name Char"/>
    <w:link w:val="Pleading-FirmName"/>
    <w:rsid w:val="004A6701"/>
    <w:rPr>
      <w:rFonts w:ascii="Times New Roman Bold" w:hAnsi="Times New Roman Bold"/>
      <w:b/>
      <w:caps/>
      <w:sz w:val="24"/>
      <w:szCs w:val="24"/>
      <w:lang w:val="en-US" w:eastAsia="en-US" w:bidi="ar-SA"/>
    </w:rPr>
  </w:style>
  <w:style w:type="paragraph" w:customStyle="1" w:styleId="RESPONSE">
    <w:name w:val="RESPONSE"/>
    <w:basedOn w:val="Normal"/>
    <w:rsid w:val="00C92382"/>
    <w:pPr>
      <w:spacing w:line="480" w:lineRule="auto"/>
      <w:jc w:val="both"/>
    </w:pPr>
    <w:rPr>
      <w:b/>
    </w:rPr>
  </w:style>
  <w:style w:type="character" w:styleId="CommentReference">
    <w:name w:val="annotation reference"/>
    <w:basedOn w:val="DefaultParagraphFont"/>
    <w:rsid w:val="00DF06C6"/>
    <w:rPr>
      <w:sz w:val="16"/>
      <w:szCs w:val="16"/>
    </w:rPr>
  </w:style>
  <w:style w:type="paragraph" w:styleId="CommentText">
    <w:name w:val="annotation text"/>
    <w:basedOn w:val="Normal"/>
    <w:link w:val="CommentTextChar"/>
    <w:rsid w:val="00DF06C6"/>
    <w:rPr>
      <w:sz w:val="20"/>
      <w:szCs w:val="20"/>
    </w:rPr>
  </w:style>
  <w:style w:type="character" w:customStyle="1" w:styleId="CommentTextChar">
    <w:name w:val="Comment Text Char"/>
    <w:basedOn w:val="DefaultParagraphFont"/>
    <w:link w:val="CommentText"/>
    <w:rsid w:val="00DF06C6"/>
  </w:style>
  <w:style w:type="paragraph" w:styleId="CommentSubject">
    <w:name w:val="annotation subject"/>
    <w:basedOn w:val="CommentText"/>
    <w:next w:val="CommentText"/>
    <w:link w:val="CommentSubjectChar"/>
    <w:rsid w:val="00DF06C6"/>
    <w:rPr>
      <w:b/>
      <w:bCs/>
    </w:rPr>
  </w:style>
  <w:style w:type="character" w:customStyle="1" w:styleId="CommentSubjectChar">
    <w:name w:val="Comment Subject Char"/>
    <w:basedOn w:val="CommentTextChar"/>
    <w:link w:val="CommentSubject"/>
    <w:rsid w:val="00DF06C6"/>
    <w:rPr>
      <w:b/>
      <w:bCs/>
    </w:rPr>
  </w:style>
  <w:style w:type="paragraph" w:styleId="BalloonText">
    <w:name w:val="Balloon Text"/>
    <w:basedOn w:val="Normal"/>
    <w:link w:val="BalloonTextChar"/>
    <w:rsid w:val="00DF06C6"/>
    <w:rPr>
      <w:rFonts w:ascii="Tahoma" w:hAnsi="Tahoma" w:cs="Tahoma"/>
      <w:sz w:val="16"/>
      <w:szCs w:val="16"/>
    </w:rPr>
  </w:style>
  <w:style w:type="character" w:customStyle="1" w:styleId="BalloonTextChar">
    <w:name w:val="Balloon Text Char"/>
    <w:basedOn w:val="DefaultParagraphFont"/>
    <w:link w:val="BalloonText"/>
    <w:rsid w:val="00DF06C6"/>
    <w:rPr>
      <w:rFonts w:ascii="Tahoma" w:hAnsi="Tahoma" w:cs="Tahoma"/>
      <w:sz w:val="16"/>
      <w:szCs w:val="16"/>
    </w:rPr>
  </w:style>
  <w:style w:type="paragraph" w:styleId="Revision">
    <w:name w:val="Revision"/>
    <w:hidden/>
    <w:uiPriority w:val="99"/>
    <w:semiHidden/>
    <w:rsid w:val="00392541"/>
    <w:rPr>
      <w:sz w:val="24"/>
      <w:szCs w:val="24"/>
    </w:rPr>
  </w:style>
  <w:style w:type="character" w:styleId="FollowedHyperlink">
    <w:name w:val="FollowedHyperlink"/>
    <w:basedOn w:val="DefaultParagraphFont"/>
    <w:rsid w:val="00020C72"/>
    <w:rPr>
      <w:color w:val="800080" w:themeColor="followedHyperlink"/>
      <w:u w:val="single"/>
    </w:rPr>
  </w:style>
  <w:style w:type="character" w:customStyle="1" w:styleId="FootnoteTextChar">
    <w:name w:val="Footnote Text Char"/>
    <w:basedOn w:val="DefaultParagraphFont"/>
    <w:link w:val="FootnoteText"/>
    <w:uiPriority w:val="99"/>
    <w:semiHidden/>
    <w:rsid w:val="00342195"/>
  </w:style>
  <w:style w:type="paragraph" w:styleId="ListParagraph">
    <w:name w:val="List Paragraph"/>
    <w:basedOn w:val="Normal"/>
    <w:uiPriority w:val="34"/>
    <w:qFormat/>
    <w:rsid w:val="00A66A9F"/>
    <w:pPr>
      <w:ind w:left="720"/>
      <w:contextualSpacing/>
    </w:pPr>
  </w:style>
  <w:style w:type="character" w:styleId="UnresolvedMention">
    <w:name w:val="Unresolved Mention"/>
    <w:basedOn w:val="DefaultParagraphFont"/>
    <w:uiPriority w:val="99"/>
    <w:semiHidden/>
    <w:unhideWhenUsed/>
    <w:rsid w:val="00D02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45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Words>
  <Characters>6538</Characters>
  <Application>Microsoft Office Word</Application>
  <DocSecurity>0</DocSecurity>
  <Lines>54</Lines>
  <Paragraphs>15</Paragraphs>
  <ScaleCrop>false</ScaleCrop>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2021-09-15T14:56:00Z</dcterms:created>
  <dcterms:modified xsi:type="dcterms:W3CDTF">2021-09-15T14:57:00Z</dcterms:modified>
  <cp:contentStatus/>
</cp:coreProperties>
</file>